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420"/>
        <w:jc w:val="center"/>
        <w:rPr>
          <w:rFonts w:ascii="宋体" w:hAnsi="宋体" w:cs="宋体"/>
          <w:b/>
          <w:sz w:val="72"/>
          <w:szCs w:val="72"/>
        </w:rPr>
      </w:pPr>
    </w:p>
    <w:p>
      <w:pPr>
        <w:spacing w:line="560" w:lineRule="exact"/>
        <w:ind w:left="420"/>
        <w:jc w:val="center"/>
        <w:rPr>
          <w:rFonts w:ascii="宋体" w:hAnsi="宋体" w:cs="宋体"/>
          <w:b/>
          <w:sz w:val="44"/>
          <w:szCs w:val="44"/>
        </w:rPr>
      </w:pPr>
    </w:p>
    <w:p>
      <w:pPr>
        <w:spacing w:line="560" w:lineRule="exact"/>
        <w:ind w:left="420"/>
        <w:jc w:val="center"/>
        <w:rPr>
          <w:rFonts w:ascii="宋体" w:hAnsi="宋体" w:cs="宋体"/>
          <w:b/>
          <w:sz w:val="44"/>
          <w:szCs w:val="44"/>
        </w:rPr>
      </w:pPr>
    </w:p>
    <w:p>
      <w:pPr>
        <w:spacing w:line="560" w:lineRule="exact"/>
        <w:ind w:firstLine="197" w:firstLineChars="49"/>
        <w:jc w:val="center"/>
        <w:rPr>
          <w:rFonts w:ascii="宋体" w:hAnsi="宋体" w:cs="宋体"/>
          <w:b/>
          <w:sz w:val="40"/>
          <w:szCs w:val="40"/>
        </w:rPr>
      </w:pPr>
      <w:r>
        <w:rPr>
          <w:rFonts w:hint="eastAsia" w:ascii="宋体" w:hAnsi="宋体" w:cs="宋体"/>
          <w:b/>
          <w:sz w:val="40"/>
          <w:szCs w:val="40"/>
        </w:rPr>
        <w:t>内蒙古神东天隆集团股份有限公司大海则煤矿</w:t>
      </w:r>
    </w:p>
    <w:p>
      <w:pPr>
        <w:spacing w:line="560" w:lineRule="exact"/>
        <w:ind w:firstLine="141" w:firstLineChars="35"/>
        <w:jc w:val="center"/>
        <w:rPr>
          <w:rFonts w:ascii="宋体" w:hAnsi="宋体" w:cs="宋体"/>
          <w:b/>
          <w:sz w:val="40"/>
          <w:szCs w:val="40"/>
        </w:rPr>
      </w:pPr>
      <w:r>
        <w:rPr>
          <w:rFonts w:hint="eastAsia" w:ascii="宋体" w:hAnsi="宋体" w:cs="宋体"/>
          <w:b/>
          <w:sz w:val="40"/>
          <w:szCs w:val="40"/>
          <w:lang w:val="en-US" w:eastAsia="zh-CN"/>
        </w:rPr>
        <w:t>电源电缆</w:t>
      </w:r>
      <w:r>
        <w:rPr>
          <w:rFonts w:hint="eastAsia" w:ascii="宋体" w:hAnsi="宋体" w:cs="宋体"/>
          <w:b/>
          <w:sz w:val="40"/>
          <w:szCs w:val="40"/>
        </w:rPr>
        <w:t>设备</w:t>
      </w:r>
    </w:p>
    <w:p>
      <w:pPr>
        <w:spacing w:line="560" w:lineRule="exact"/>
        <w:jc w:val="center"/>
        <w:rPr>
          <w:rFonts w:ascii="宋体" w:hAnsi="宋体" w:cs="宋体"/>
          <w:b/>
          <w:sz w:val="36"/>
          <w:szCs w:val="36"/>
        </w:rPr>
      </w:pPr>
    </w:p>
    <w:p>
      <w:pPr>
        <w:spacing w:line="480" w:lineRule="auto"/>
        <w:jc w:val="center"/>
        <w:rPr>
          <w:rFonts w:ascii="宋体" w:hAnsi="宋体" w:cs="宋体"/>
          <w:b/>
          <w:sz w:val="96"/>
          <w:szCs w:val="96"/>
        </w:rPr>
      </w:pPr>
      <w:r>
        <w:rPr>
          <w:rFonts w:hint="eastAsia" w:ascii="宋体" w:hAnsi="宋体" w:cs="宋体"/>
          <w:b/>
          <w:sz w:val="84"/>
          <w:szCs w:val="84"/>
        </w:rPr>
        <w:t>技 术 要 求</w:t>
      </w:r>
    </w:p>
    <w:p>
      <w:pPr>
        <w:spacing w:line="560" w:lineRule="exact"/>
        <w:jc w:val="center"/>
        <w:rPr>
          <w:rFonts w:ascii="宋体" w:hAnsi="宋体" w:cs="宋体"/>
          <w:b/>
          <w:sz w:val="32"/>
          <w:szCs w:val="32"/>
        </w:rPr>
      </w:pPr>
    </w:p>
    <w:p>
      <w:pPr>
        <w:tabs>
          <w:tab w:val="left" w:pos="1227"/>
        </w:tabs>
        <w:spacing w:line="560" w:lineRule="exact"/>
        <w:jc w:val="center"/>
        <w:rPr>
          <w:rFonts w:ascii="宋体" w:hAnsi="宋体" w:cs="宋体"/>
          <w:b/>
          <w:sz w:val="32"/>
          <w:szCs w:val="32"/>
        </w:rPr>
      </w:pPr>
    </w:p>
    <w:p>
      <w:pPr>
        <w:tabs>
          <w:tab w:val="left" w:pos="1227"/>
        </w:tabs>
        <w:spacing w:line="560" w:lineRule="exact"/>
        <w:jc w:val="center"/>
        <w:rPr>
          <w:rFonts w:ascii="宋体" w:hAnsi="宋体" w:cs="宋体"/>
          <w:b/>
          <w:sz w:val="32"/>
          <w:szCs w:val="32"/>
        </w:rPr>
      </w:pPr>
    </w:p>
    <w:p>
      <w:pPr>
        <w:tabs>
          <w:tab w:val="left" w:pos="1227"/>
        </w:tabs>
        <w:spacing w:line="560" w:lineRule="exact"/>
        <w:jc w:val="center"/>
        <w:rPr>
          <w:rFonts w:ascii="宋体" w:hAnsi="宋体" w:cs="宋体"/>
          <w:b/>
          <w:sz w:val="32"/>
          <w:szCs w:val="32"/>
        </w:rPr>
      </w:pPr>
    </w:p>
    <w:p>
      <w:pPr>
        <w:pStyle w:val="12"/>
        <w:ind w:firstLine="321"/>
        <w:rPr>
          <w:rFonts w:ascii="宋体" w:hAnsi="宋体" w:eastAsia="宋体" w:cs="宋体"/>
          <w:b/>
          <w:sz w:val="32"/>
          <w:szCs w:val="32"/>
        </w:rPr>
      </w:pPr>
    </w:p>
    <w:p>
      <w:pPr>
        <w:pStyle w:val="12"/>
        <w:ind w:firstLine="321"/>
        <w:rPr>
          <w:rFonts w:ascii="宋体" w:hAnsi="宋体" w:eastAsia="宋体" w:cs="宋体"/>
          <w:b/>
          <w:sz w:val="32"/>
          <w:szCs w:val="32"/>
        </w:rPr>
      </w:pPr>
    </w:p>
    <w:p>
      <w:pPr>
        <w:pStyle w:val="11"/>
        <w:spacing w:line="560" w:lineRule="exact"/>
        <w:rPr>
          <w:rFonts w:ascii="宋体" w:hAnsi="宋体" w:eastAsia="宋体" w:cs="宋体"/>
        </w:rPr>
      </w:pPr>
    </w:p>
    <w:p>
      <w:pPr>
        <w:pStyle w:val="11"/>
        <w:spacing w:line="560" w:lineRule="exact"/>
        <w:rPr>
          <w:rFonts w:ascii="宋体" w:hAnsi="宋体" w:eastAsia="宋体" w:cs="宋体"/>
        </w:rPr>
      </w:pPr>
    </w:p>
    <w:p>
      <w:pPr>
        <w:pStyle w:val="11"/>
        <w:spacing w:line="560" w:lineRule="exact"/>
        <w:rPr>
          <w:rFonts w:ascii="宋体" w:hAnsi="宋体" w:eastAsia="宋体" w:cs="宋体"/>
        </w:rPr>
      </w:pPr>
    </w:p>
    <w:p>
      <w:pPr>
        <w:ind w:firstLine="2249" w:firstLineChars="7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分管领导：</w:t>
      </w:r>
    </w:p>
    <w:p>
      <w:pPr>
        <w:rPr>
          <w:rFonts w:asciiTheme="majorEastAsia" w:hAnsiTheme="majorEastAsia" w:eastAsiaTheme="majorEastAsia" w:cstheme="majorEastAsia"/>
          <w:b/>
          <w:bCs/>
          <w:sz w:val="32"/>
          <w:szCs w:val="32"/>
        </w:rPr>
      </w:pPr>
    </w:p>
    <w:p>
      <w:pPr>
        <w:ind w:firstLine="2249" w:firstLineChars="7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机电动力部</w:t>
      </w:r>
      <w:r>
        <w:rPr>
          <w:rFonts w:hint="eastAsia" w:asciiTheme="majorEastAsia" w:hAnsiTheme="majorEastAsia" w:eastAsiaTheme="majorEastAsia" w:cstheme="majorEastAsia"/>
          <w:b/>
          <w:bCs/>
          <w:sz w:val="32"/>
          <w:szCs w:val="32"/>
        </w:rPr>
        <w:t>：</w:t>
      </w:r>
    </w:p>
    <w:p>
      <w:pPr>
        <w:jc w:val="center"/>
        <w:rPr>
          <w:rFonts w:asciiTheme="majorEastAsia" w:hAnsiTheme="majorEastAsia" w:eastAsiaTheme="majorEastAsia" w:cstheme="majorEastAsia"/>
          <w:b/>
          <w:bCs/>
          <w:sz w:val="36"/>
          <w:szCs w:val="36"/>
        </w:rPr>
      </w:pPr>
    </w:p>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时间：2022年</w:t>
      </w:r>
      <w:r>
        <w:rPr>
          <w:rFonts w:hint="eastAsia" w:asciiTheme="majorEastAsia" w:hAnsiTheme="majorEastAsia" w:eastAsiaTheme="majorEastAsia" w:cstheme="majorEastAsia"/>
          <w:b/>
          <w:bCs/>
          <w:sz w:val="36"/>
          <w:szCs w:val="36"/>
          <w:lang w:val="en-US" w:eastAsia="zh-CN"/>
        </w:rPr>
        <w:t>7</w:t>
      </w:r>
      <w:r>
        <w:rPr>
          <w:rFonts w:hint="eastAsia" w:asciiTheme="majorEastAsia" w:hAnsiTheme="majorEastAsia" w:eastAsiaTheme="majorEastAsia" w:cstheme="majorEastAsia"/>
          <w:b/>
          <w:bCs/>
          <w:sz w:val="36"/>
          <w:szCs w:val="36"/>
        </w:rPr>
        <w:t>月</w:t>
      </w:r>
      <w:r>
        <w:rPr>
          <w:rFonts w:hint="eastAsia" w:asciiTheme="majorEastAsia" w:hAnsiTheme="majorEastAsia" w:eastAsiaTheme="majorEastAsia" w:cstheme="majorEastAsia"/>
          <w:b/>
          <w:bCs/>
          <w:sz w:val="36"/>
          <w:szCs w:val="36"/>
          <w:lang w:val="en-US" w:eastAsia="zh-CN"/>
        </w:rPr>
        <w:t>13</w:t>
      </w:r>
      <w:r>
        <w:rPr>
          <w:rFonts w:hint="eastAsia" w:asciiTheme="majorEastAsia" w:hAnsiTheme="majorEastAsia" w:eastAsiaTheme="majorEastAsia" w:cstheme="majorEastAsia"/>
          <w:b/>
          <w:bCs/>
          <w:sz w:val="36"/>
          <w:szCs w:val="36"/>
        </w:rPr>
        <w:t>日</w:t>
      </w:r>
    </w:p>
    <w:p>
      <w:pPr>
        <w:spacing w:line="560" w:lineRule="exact"/>
        <w:jc w:val="center"/>
        <w:rPr>
          <w:rFonts w:ascii="宋体" w:hAnsi="宋体" w:cs="宋体"/>
          <w:b/>
          <w:bCs/>
          <w:spacing w:val="-5"/>
          <w:kern w:val="0"/>
          <w:sz w:val="28"/>
          <w:szCs w:val="28"/>
        </w:rPr>
      </w:pPr>
    </w:p>
    <w:p>
      <w:pPr>
        <w:spacing w:line="560" w:lineRule="exact"/>
        <w:jc w:val="center"/>
        <w:rPr>
          <w:rFonts w:ascii="宋体" w:hAnsi="宋体" w:cs="宋体"/>
          <w:b/>
          <w:bCs/>
          <w:spacing w:val="-5"/>
          <w:kern w:val="0"/>
          <w:sz w:val="28"/>
          <w:szCs w:val="28"/>
        </w:rPr>
      </w:pPr>
      <w:r>
        <w:rPr>
          <w:rFonts w:hint="eastAsia" w:ascii="宋体" w:hAnsi="宋体" w:cs="宋体"/>
          <w:b/>
          <w:bCs/>
          <w:spacing w:val="-5"/>
          <w:kern w:val="0"/>
          <w:sz w:val="28"/>
          <w:szCs w:val="28"/>
        </w:rPr>
        <w:t>一、总则</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1.本系统技术规格书适用于大海则煤矿</w:t>
      </w:r>
      <w:r>
        <w:rPr>
          <w:rFonts w:hint="eastAsia" w:ascii="宋体" w:hAnsi="宋体" w:cs="宋体"/>
          <w:spacing w:val="-5"/>
          <w:kern w:val="0"/>
          <w:sz w:val="24"/>
          <w:szCs w:val="24"/>
          <w:lang w:val="en-US" w:eastAsia="zh-CN"/>
        </w:rPr>
        <w:t>电源电缆</w:t>
      </w:r>
      <w:r>
        <w:rPr>
          <w:rFonts w:hint="eastAsia" w:ascii="宋体" w:hAnsi="宋体" w:cs="宋体"/>
          <w:spacing w:val="-5"/>
          <w:kern w:val="0"/>
          <w:sz w:val="24"/>
          <w:szCs w:val="24"/>
        </w:rPr>
        <w:t>方面的技术要求。</w:t>
      </w:r>
    </w:p>
    <w:p>
      <w:pPr>
        <w:pStyle w:val="23"/>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2.规格书并未对一切技术细节作出规定，也未充分引述有关标准和规范的条文，投标方应保证提供符合国家标准、规范和本规格书的优质产品及相应的优质服务。同时符合先进的制造和装配的需要，不能因为技术规格书的遗漏、疏忽和不明确而解脱投标方提供第一流材料、产品质量及服务的责任。对国家有关安全、节能、环境保护等强制性标准，必须满足其要求。</w:t>
      </w:r>
    </w:p>
    <w:p>
      <w:pPr>
        <w:pStyle w:val="23"/>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3.技术</w:t>
      </w:r>
      <w:r>
        <w:rPr>
          <w:rFonts w:hint="eastAsia" w:ascii="宋体" w:hAnsi="宋体" w:eastAsia="宋体" w:cs="宋体"/>
          <w:spacing w:val="-5"/>
          <w:kern w:val="0"/>
          <w:szCs w:val="24"/>
          <w:lang w:val="en-US" w:eastAsia="zh-CN"/>
        </w:rPr>
        <w:t>要求</w:t>
      </w:r>
      <w:r>
        <w:rPr>
          <w:rFonts w:hint="eastAsia" w:ascii="宋体" w:hAnsi="宋体" w:eastAsia="宋体" w:cs="宋体"/>
          <w:spacing w:val="-5"/>
          <w:kern w:val="0"/>
          <w:szCs w:val="24"/>
        </w:rPr>
        <w:t>提出的是最低限度的技术要求，技术要求与投标人所执行的标准不一致时，均按较高标准执行。</w:t>
      </w:r>
    </w:p>
    <w:p>
      <w:pPr>
        <w:pStyle w:val="23"/>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4.设备采用的专利和软件的版权涉及到的全部费用均被认为已包含在设备报价中，投标方应保证招标方不承担有关专利和版权的一切责任。</w:t>
      </w:r>
    </w:p>
    <w:p>
      <w:pPr>
        <w:pStyle w:val="23"/>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5.投标方在保证不低于本技术规格书规定的功能要求和配置基础上，根据自身技术体系提供更优的解决方案和设备清单，必要时候可以到大海则煤矿实地勘查，配置满足系统需求的详细设备清单和具体的系统解决方案。清单中依次说明型号、数量等内容。</w:t>
      </w:r>
    </w:p>
    <w:p>
      <w:pPr>
        <w:pStyle w:val="23"/>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6.本系统技术要求提出的是保证系统功能运行所需的最低限度的技术要求，如有遗漏，投标方应在投标时予以补充，否则中标后，将认为投标方认同遗漏部分并免费提供。</w:t>
      </w:r>
    </w:p>
    <w:p>
      <w:pPr>
        <w:pStyle w:val="23"/>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lang w:val="en-US" w:eastAsia="zh-CN"/>
        </w:rPr>
        <w:t>7</w:t>
      </w:r>
      <w:r>
        <w:rPr>
          <w:rFonts w:hint="eastAsia" w:ascii="宋体" w:hAnsi="宋体" w:eastAsia="宋体" w:cs="宋体"/>
          <w:spacing w:val="-5"/>
          <w:kern w:val="0"/>
          <w:szCs w:val="24"/>
        </w:rPr>
        <w:t>.井下设备必须符合入井条件，并按照国家相关法律法规提供设备的产品合格证、防爆合格证、检验合格证、矿用产品安全标志（MA）。</w:t>
      </w:r>
    </w:p>
    <w:p/>
    <w:p>
      <w:pPr>
        <w:spacing w:line="560" w:lineRule="exact"/>
        <w:outlineLvl w:val="0"/>
        <w:rPr>
          <w:rFonts w:ascii="宋体" w:hAnsi="宋体" w:cs="宋体"/>
          <w:b/>
          <w:bCs/>
          <w:spacing w:val="-5"/>
          <w:kern w:val="0"/>
          <w:sz w:val="28"/>
          <w:szCs w:val="28"/>
        </w:rPr>
      </w:pPr>
      <w:r>
        <w:rPr>
          <w:rFonts w:hint="eastAsia" w:ascii="宋体" w:hAnsi="宋体" w:cs="宋体"/>
          <w:b/>
          <w:bCs/>
          <w:spacing w:val="-5"/>
          <w:kern w:val="0"/>
          <w:sz w:val="28"/>
          <w:szCs w:val="28"/>
        </w:rPr>
        <w:t>二、技术标准</w:t>
      </w:r>
    </w:p>
    <w:p>
      <w:pPr>
        <w:pStyle w:val="23"/>
        <w:spacing w:line="560" w:lineRule="exact"/>
        <w:ind w:left="0" w:leftChars="0" w:firstLine="460" w:firstLineChars="200"/>
        <w:rPr>
          <w:rFonts w:hint="eastAsia" w:ascii="宋体" w:hAnsi="宋体" w:eastAsia="宋体" w:cs="宋体"/>
          <w:spacing w:val="-5"/>
          <w:kern w:val="0"/>
          <w:szCs w:val="22"/>
          <w:lang w:val="en-US"/>
        </w:rPr>
      </w:pPr>
      <w:r>
        <w:rPr>
          <w:rFonts w:hint="eastAsia" w:ascii="宋体" w:hAnsi="宋体" w:eastAsia="宋体" w:cs="宋体"/>
          <w:spacing w:val="-5"/>
          <w:kern w:val="0"/>
          <w:szCs w:val="22"/>
        </w:rPr>
        <w:t>1、</w:t>
      </w:r>
      <w:r>
        <w:rPr>
          <w:rFonts w:hint="eastAsia" w:ascii="宋体" w:hAnsi="宋体" w:eastAsia="宋体" w:cs="宋体"/>
          <w:spacing w:val="-5"/>
          <w:kern w:val="0"/>
          <w:szCs w:val="22"/>
          <w:lang w:val="en-US"/>
        </w:rPr>
        <w:t>《煤矿安全规范》</w:t>
      </w:r>
    </w:p>
    <w:p>
      <w:pPr>
        <w:pStyle w:val="23"/>
        <w:spacing w:line="560" w:lineRule="exact"/>
        <w:ind w:left="0" w:leftChars="0" w:firstLine="460" w:firstLineChars="200"/>
        <w:rPr>
          <w:rFonts w:hint="eastAsia" w:ascii="宋体" w:hAnsi="宋体" w:eastAsia="宋体" w:cs="宋体"/>
          <w:spacing w:val="-5"/>
          <w:kern w:val="0"/>
          <w:szCs w:val="22"/>
          <w:lang w:val="en-US"/>
        </w:rPr>
      </w:pPr>
      <w:r>
        <w:rPr>
          <w:rFonts w:hint="eastAsia" w:ascii="宋体" w:hAnsi="宋体" w:eastAsia="宋体" w:cs="宋体"/>
          <w:spacing w:val="-5"/>
          <w:kern w:val="0"/>
          <w:szCs w:val="22"/>
          <w:lang w:val="en-US" w:eastAsia="zh-CN"/>
        </w:rPr>
        <w:t>2</w:t>
      </w:r>
      <w:r>
        <w:rPr>
          <w:rFonts w:hint="eastAsia" w:ascii="宋体" w:hAnsi="宋体" w:eastAsia="宋体" w:cs="宋体"/>
          <w:spacing w:val="-5"/>
          <w:kern w:val="0"/>
          <w:szCs w:val="22"/>
          <w:lang w:val="en-US"/>
        </w:rPr>
        <w:t>、《煤矿通讯，检测，控制用电子产品通用技术要求》</w:t>
      </w:r>
    </w:p>
    <w:p>
      <w:pPr>
        <w:pStyle w:val="23"/>
        <w:spacing w:line="560" w:lineRule="exact"/>
        <w:ind w:left="0" w:leftChars="0" w:firstLine="460" w:firstLineChars="200"/>
        <w:rPr>
          <w:rFonts w:hint="eastAsia" w:ascii="宋体" w:hAnsi="宋体" w:eastAsia="宋体" w:cs="宋体"/>
          <w:spacing w:val="-5"/>
          <w:kern w:val="0"/>
          <w:szCs w:val="22"/>
          <w:lang w:val="en-US"/>
        </w:rPr>
      </w:pPr>
      <w:r>
        <w:rPr>
          <w:rFonts w:hint="eastAsia" w:ascii="宋体" w:hAnsi="宋体" w:eastAsia="宋体" w:cs="宋体"/>
          <w:spacing w:val="-5"/>
          <w:kern w:val="0"/>
          <w:szCs w:val="22"/>
          <w:lang w:val="en-US" w:eastAsia="zh-CN"/>
        </w:rPr>
        <w:t>3</w:t>
      </w:r>
      <w:r>
        <w:rPr>
          <w:rFonts w:hint="eastAsia" w:ascii="宋体" w:hAnsi="宋体" w:eastAsia="宋体" w:cs="宋体"/>
          <w:spacing w:val="-5"/>
          <w:kern w:val="0"/>
          <w:szCs w:val="22"/>
          <w:lang w:val="en-US"/>
        </w:rPr>
        <w:t>、《煤矿井下通信联络系统使用与管理规范（试行）》</w:t>
      </w:r>
    </w:p>
    <w:p>
      <w:pPr>
        <w:pStyle w:val="23"/>
        <w:spacing w:line="560" w:lineRule="exact"/>
        <w:ind w:left="0" w:leftChars="0" w:firstLine="460" w:firstLineChars="200"/>
        <w:rPr>
          <w:rFonts w:hint="eastAsia" w:ascii="宋体" w:hAnsi="宋体" w:eastAsia="宋体" w:cs="宋体"/>
          <w:spacing w:val="-5"/>
          <w:kern w:val="0"/>
          <w:szCs w:val="22"/>
          <w:lang w:val="en-US"/>
        </w:rPr>
      </w:pPr>
      <w:r>
        <w:rPr>
          <w:rFonts w:hint="eastAsia" w:ascii="宋体" w:hAnsi="宋体" w:eastAsia="宋体" w:cs="宋体"/>
          <w:spacing w:val="-5"/>
          <w:kern w:val="0"/>
          <w:szCs w:val="22"/>
          <w:lang w:val="en-US" w:eastAsia="zh-CN"/>
        </w:rPr>
        <w:t>4</w:t>
      </w:r>
      <w:r>
        <w:rPr>
          <w:rFonts w:hint="eastAsia" w:ascii="宋体" w:hAnsi="宋体" w:eastAsia="宋体" w:cs="宋体"/>
          <w:spacing w:val="-5"/>
          <w:kern w:val="0"/>
          <w:szCs w:val="22"/>
          <w:lang w:val="en-US"/>
        </w:rPr>
        <w:t>、《爆炸性环境用防爆电气设备通用要求》GB3836.1-2000</w:t>
      </w:r>
    </w:p>
    <w:p>
      <w:pPr>
        <w:pStyle w:val="23"/>
        <w:spacing w:line="560" w:lineRule="exact"/>
        <w:ind w:left="0" w:leftChars="0" w:firstLine="460" w:firstLineChars="200"/>
        <w:rPr>
          <w:rFonts w:hint="eastAsia" w:ascii="宋体" w:hAnsi="宋体" w:eastAsia="宋体" w:cs="宋体"/>
          <w:spacing w:val="-5"/>
          <w:kern w:val="0"/>
          <w:szCs w:val="22"/>
          <w:lang w:val="en-US"/>
        </w:rPr>
      </w:pPr>
      <w:r>
        <w:rPr>
          <w:rFonts w:hint="eastAsia" w:ascii="宋体" w:hAnsi="宋体" w:eastAsia="宋体" w:cs="宋体"/>
          <w:spacing w:val="-5"/>
          <w:kern w:val="0"/>
          <w:szCs w:val="22"/>
          <w:lang w:val="en-US" w:eastAsia="zh-CN"/>
        </w:rPr>
        <w:t>5</w:t>
      </w:r>
      <w:r>
        <w:rPr>
          <w:rFonts w:hint="eastAsia" w:ascii="宋体" w:hAnsi="宋体" w:eastAsia="宋体" w:cs="宋体"/>
          <w:spacing w:val="-5"/>
          <w:kern w:val="0"/>
          <w:szCs w:val="22"/>
          <w:lang w:val="en-US"/>
        </w:rPr>
        <w:t>、《爆炸性环境用防爆电气设备》GB3836.2-2000</w:t>
      </w:r>
    </w:p>
    <w:p>
      <w:pPr>
        <w:pStyle w:val="7"/>
      </w:pPr>
    </w:p>
    <w:p>
      <w:pPr>
        <w:spacing w:line="560" w:lineRule="exact"/>
        <w:outlineLvl w:val="0"/>
        <w:rPr>
          <w:rFonts w:hint="eastAsia" w:ascii="宋体" w:hAnsi="宋体" w:eastAsia="宋体" w:cs="宋体"/>
          <w:b/>
          <w:bCs/>
          <w:spacing w:val="-5"/>
          <w:kern w:val="0"/>
          <w:sz w:val="28"/>
          <w:szCs w:val="28"/>
          <w:lang w:val="en-US" w:eastAsia="zh-CN" w:bidi="ar-SA"/>
        </w:rPr>
      </w:pPr>
      <w:r>
        <w:rPr>
          <w:rFonts w:hint="eastAsia" w:ascii="宋体" w:hAnsi="宋体" w:cs="宋体"/>
          <w:b/>
          <w:bCs/>
          <w:spacing w:val="-5"/>
          <w:kern w:val="0"/>
          <w:sz w:val="28"/>
          <w:szCs w:val="28"/>
          <w:lang w:val="en-US" w:eastAsia="zh-CN"/>
        </w:rPr>
        <w:t>三、技术性能详细描述</w:t>
      </w:r>
    </w:p>
    <w:p>
      <w:pPr>
        <w:pStyle w:val="2"/>
        <w:numPr>
          <w:ilvl w:val="0"/>
          <w:numId w:val="0"/>
        </w:numPr>
        <w:rPr>
          <w:rFonts w:hint="default" w:ascii="宋体" w:hAnsi="宋体" w:eastAsia="宋体" w:cs="宋体"/>
          <w:b/>
          <w:bCs/>
          <w:spacing w:val="-5"/>
          <w:kern w:val="0"/>
          <w:sz w:val="28"/>
          <w:szCs w:val="28"/>
          <w:lang w:val="en-US" w:eastAsia="zh-CN" w:bidi="ar-SA"/>
        </w:rPr>
      </w:pPr>
      <w:r>
        <w:rPr>
          <w:rFonts w:hint="eastAsia" w:ascii="宋体" w:hAnsi="宋体" w:eastAsia="宋体" w:cs="宋体"/>
          <w:b/>
          <w:bCs/>
          <w:spacing w:val="-5"/>
          <w:kern w:val="0"/>
          <w:sz w:val="28"/>
          <w:szCs w:val="28"/>
          <w:lang w:val="en-US" w:eastAsia="zh-CN" w:bidi="ar-SA"/>
        </w:rPr>
        <w:t>4平方电源电缆</w:t>
      </w:r>
    </w:p>
    <w:p>
      <w:pPr>
        <w:tabs>
          <w:tab w:val="left" w:pos="284"/>
        </w:tabs>
        <w:kinsoku w:val="0"/>
        <w:overflowPunct w:val="0"/>
        <w:spacing w:line="360" w:lineRule="auto"/>
        <w:ind w:right="108"/>
        <w:jc w:val="left"/>
        <w:rPr>
          <w:rFonts w:hint="eastAsia" w:ascii="宋体" w:hAnsi="宋体" w:cs="宋体"/>
          <w:b w:val="0"/>
          <w:bCs/>
          <w:sz w:val="24"/>
          <w:lang w:val="en-US" w:eastAsia="zh-CN"/>
        </w:rPr>
      </w:pPr>
      <w:r>
        <w:rPr>
          <w:rFonts w:hint="eastAsia" w:ascii="宋体" w:hAnsi="宋体" w:cs="宋体"/>
          <w:b w:val="0"/>
          <w:bCs/>
          <w:sz w:val="24"/>
          <w:lang w:val="en-US" w:eastAsia="zh-CN"/>
        </w:rPr>
        <w:t>1、</w:t>
      </w:r>
      <w:r>
        <w:rPr>
          <w:rFonts w:hint="eastAsia" w:ascii="宋体" w:hAnsi="宋体" w:cs="宋体"/>
          <w:b w:val="0"/>
          <w:bCs/>
          <w:sz w:val="24"/>
        </w:rPr>
        <w:t>产品型号</w:t>
      </w:r>
      <w:r>
        <w:rPr>
          <w:rFonts w:hint="eastAsia" w:ascii="宋体" w:hAnsi="宋体" w:cs="宋体"/>
          <w:b/>
          <w:sz w:val="24"/>
        </w:rPr>
        <w:t>：</w:t>
      </w:r>
      <w:r>
        <w:rPr>
          <w:rFonts w:hint="eastAsia" w:ascii="宋体" w:hAnsi="宋体" w:cs="宋体"/>
          <w:b w:val="0"/>
          <w:bCs/>
          <w:sz w:val="24"/>
          <w:lang w:val="en-US" w:eastAsia="zh-CN"/>
        </w:rPr>
        <w:t>MYP-3*4+1*4。额定电压0.66移动软电缆</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2、执行标准：MT818.5-1999</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3、用途：本产品为矿用橡套软电缆系列产品。</w:t>
      </w:r>
    </w:p>
    <w:p>
      <w:pPr>
        <w:tabs>
          <w:tab w:val="left" w:pos="284"/>
        </w:tabs>
        <w:kinsoku w:val="0"/>
        <w:overflowPunct w:val="0"/>
        <w:spacing w:line="360" w:lineRule="auto"/>
        <w:ind w:right="108"/>
        <w:jc w:val="left"/>
        <w:rPr>
          <w:rFonts w:hint="eastAsia" w:ascii="宋体" w:hAnsi="宋体" w:cs="宋体"/>
          <w:b w:val="0"/>
          <w:bCs/>
          <w:sz w:val="24"/>
          <w:lang w:val="en-US" w:eastAsia="zh-CN"/>
        </w:rPr>
      </w:pPr>
      <w:r>
        <w:rPr>
          <w:rFonts w:hint="eastAsia" w:ascii="宋体" w:hAnsi="宋体" w:cs="宋体"/>
          <w:b w:val="0"/>
          <w:bCs/>
          <w:sz w:val="24"/>
          <w:lang w:val="en-US" w:eastAsia="zh-CN"/>
        </w:rPr>
        <w:t>4、工作条件：</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额定电压Uo/U为0.38/0.66</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电缆导体的长期工作温度为65℃</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电缆的最小弯曲半径为电缆直径的6倍</w:t>
      </w:r>
    </w:p>
    <w:p>
      <w:pPr>
        <w:tabs>
          <w:tab w:val="left" w:pos="284"/>
        </w:tabs>
        <w:kinsoku w:val="0"/>
        <w:overflowPunct w:val="0"/>
        <w:spacing w:line="360" w:lineRule="auto"/>
        <w:ind w:right="108"/>
        <w:jc w:val="left"/>
        <w:rPr>
          <w:rFonts w:hint="eastAsia" w:ascii="宋体" w:hAnsi="宋体" w:cs="宋体"/>
          <w:b w:val="0"/>
          <w:bCs/>
          <w:sz w:val="24"/>
          <w:lang w:val="en-US" w:eastAsia="zh-CN"/>
        </w:rPr>
      </w:pPr>
      <w:r>
        <w:rPr>
          <w:rFonts w:hint="eastAsia" w:ascii="宋体" w:hAnsi="宋体" w:cs="宋体"/>
          <w:b w:val="0"/>
          <w:bCs/>
          <w:sz w:val="24"/>
          <w:lang w:val="en-US" w:eastAsia="zh-CN"/>
        </w:rPr>
        <w:t>5、其它要求及试验方法按MT818.5-1999执行标准</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6、电缆绝缘主线芯之间及主线芯与地线之间的绝缘电阻,换算到+20℃时不低于100MΩ/km。</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7、主线芯屏蔽层的过渡电阻换算到20℃时不高于3kΩ。</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8、产品标准：MT818.5-1999。</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9、MYP型电缆有3个带绝缘屏蔽的主线芯和一个包覆半导电橡皮层的地线组成，围绕半导电橡皮层垫芯绞合成缆。外面挤包黑色氯化聚乙烯橡皮护套或黑色氯丁橡皮护套加厚更安全。</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10、导电线芯：采用软铜线，其性能符合 GB/T3956-1997。</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11、绝缘：采用GB7594.2-1987中XJ-00A型橡皮。           </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12、线芯识别：采用绝缘分色识别，主线芯红、绿、白。</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13、地线：采用半导电橡皮包覆。</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14、绝缘屏蔽：在绝缘表面包半导电带。</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15、成缆：3个主线芯1个地线围绕半导电橡皮垫芯按右向绞合成缆。</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16、护套：采用GB7594.7-1987中XH-03A型橡皮。护套橡皮的氧指数≥40。</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17、成品电缆的阻燃性能满足MT386-1995的要求。</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18、电缆标志：电缆表面印有型号、电压、规格及制造厂。</w:t>
      </w:r>
    </w:p>
    <w:p>
      <w:pPr>
        <w:pStyle w:val="2"/>
        <w:numPr>
          <w:ilvl w:val="0"/>
          <w:numId w:val="0"/>
        </w:numPr>
        <w:rPr>
          <w:rFonts w:hint="default" w:ascii="宋体" w:hAnsi="宋体" w:eastAsia="宋体" w:cs="宋体"/>
          <w:b/>
          <w:bCs/>
          <w:spacing w:val="-5"/>
          <w:kern w:val="0"/>
          <w:sz w:val="28"/>
          <w:szCs w:val="28"/>
          <w:lang w:val="en-US" w:eastAsia="zh-CN" w:bidi="ar-SA"/>
        </w:rPr>
      </w:pPr>
      <w:r>
        <w:rPr>
          <w:rFonts w:hint="eastAsia" w:ascii="宋体" w:hAnsi="宋体" w:cs="宋体"/>
          <w:b/>
          <w:bCs/>
          <w:spacing w:val="-5"/>
          <w:kern w:val="0"/>
          <w:sz w:val="28"/>
          <w:szCs w:val="28"/>
          <w:lang w:val="en-US" w:eastAsia="zh-CN" w:bidi="ar-SA"/>
        </w:rPr>
        <w:t>2.5</w:t>
      </w:r>
      <w:r>
        <w:rPr>
          <w:rFonts w:hint="eastAsia" w:ascii="宋体" w:hAnsi="宋体" w:eastAsia="宋体" w:cs="宋体"/>
          <w:b/>
          <w:bCs/>
          <w:spacing w:val="-5"/>
          <w:kern w:val="0"/>
          <w:sz w:val="28"/>
          <w:szCs w:val="28"/>
          <w:lang w:val="en-US" w:eastAsia="zh-CN" w:bidi="ar-SA"/>
        </w:rPr>
        <w:t>平方电源电缆</w:t>
      </w:r>
    </w:p>
    <w:p>
      <w:pPr>
        <w:tabs>
          <w:tab w:val="left" w:pos="284"/>
        </w:tabs>
        <w:kinsoku w:val="0"/>
        <w:overflowPunct w:val="0"/>
        <w:spacing w:line="360" w:lineRule="auto"/>
        <w:ind w:right="108"/>
        <w:jc w:val="left"/>
        <w:rPr>
          <w:rFonts w:hint="eastAsia" w:ascii="宋体" w:hAnsi="宋体" w:cs="宋体"/>
          <w:b w:val="0"/>
          <w:bCs/>
          <w:sz w:val="24"/>
          <w:lang w:val="en-US" w:eastAsia="zh-CN"/>
        </w:rPr>
      </w:pPr>
      <w:r>
        <w:rPr>
          <w:rFonts w:hint="eastAsia" w:ascii="宋体" w:hAnsi="宋体" w:cs="宋体"/>
          <w:b w:val="0"/>
          <w:bCs/>
          <w:sz w:val="24"/>
          <w:lang w:val="en-US" w:eastAsia="zh-CN"/>
        </w:rPr>
        <w:t>1、</w:t>
      </w:r>
      <w:r>
        <w:rPr>
          <w:rFonts w:hint="eastAsia" w:ascii="宋体" w:hAnsi="宋体" w:cs="宋体"/>
          <w:b w:val="0"/>
          <w:bCs/>
          <w:sz w:val="24"/>
        </w:rPr>
        <w:t>产品型号</w:t>
      </w:r>
      <w:r>
        <w:rPr>
          <w:rFonts w:hint="eastAsia" w:ascii="宋体" w:hAnsi="宋体" w:cs="宋体"/>
          <w:b/>
          <w:sz w:val="24"/>
        </w:rPr>
        <w:t>：</w:t>
      </w:r>
      <w:r>
        <w:rPr>
          <w:rFonts w:hint="eastAsia" w:ascii="宋体" w:hAnsi="宋体" w:cs="宋体"/>
          <w:b w:val="0"/>
          <w:bCs/>
          <w:sz w:val="24"/>
          <w:lang w:val="en-US" w:eastAsia="zh-CN"/>
        </w:rPr>
        <w:t>MYQ-3*2.5。额定电压0.66移动软电缆</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2、执行标准：MT818.5-1999</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3、用途：本产品为矿用橡套软电缆系列产品。</w:t>
      </w:r>
    </w:p>
    <w:p>
      <w:pPr>
        <w:tabs>
          <w:tab w:val="left" w:pos="284"/>
        </w:tabs>
        <w:kinsoku w:val="0"/>
        <w:overflowPunct w:val="0"/>
        <w:spacing w:line="360" w:lineRule="auto"/>
        <w:ind w:right="108"/>
        <w:jc w:val="left"/>
        <w:rPr>
          <w:rFonts w:hint="eastAsia" w:ascii="宋体" w:hAnsi="宋体" w:cs="宋体"/>
          <w:b w:val="0"/>
          <w:bCs/>
          <w:sz w:val="24"/>
          <w:lang w:val="en-US" w:eastAsia="zh-CN"/>
        </w:rPr>
      </w:pPr>
      <w:r>
        <w:rPr>
          <w:rFonts w:hint="eastAsia" w:ascii="宋体" w:hAnsi="宋体" w:cs="宋体"/>
          <w:b w:val="0"/>
          <w:bCs/>
          <w:sz w:val="24"/>
          <w:lang w:val="en-US" w:eastAsia="zh-CN"/>
        </w:rPr>
        <w:t>4、工作条件：</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额定电压Uo/U为0.38/0.66</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电缆导体的长期工作温度为65℃</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电缆的最小弯曲半径为电缆直径的6倍</w:t>
      </w:r>
    </w:p>
    <w:p>
      <w:pPr>
        <w:tabs>
          <w:tab w:val="left" w:pos="284"/>
        </w:tabs>
        <w:kinsoku w:val="0"/>
        <w:overflowPunct w:val="0"/>
        <w:spacing w:line="360" w:lineRule="auto"/>
        <w:ind w:right="108"/>
        <w:jc w:val="left"/>
        <w:rPr>
          <w:rFonts w:hint="eastAsia" w:ascii="宋体" w:hAnsi="宋体" w:cs="宋体"/>
          <w:b/>
          <w:bCs/>
          <w:spacing w:val="-5"/>
          <w:kern w:val="0"/>
          <w:sz w:val="28"/>
          <w:szCs w:val="28"/>
        </w:rPr>
      </w:pPr>
      <w:r>
        <w:rPr>
          <w:rFonts w:hint="eastAsia" w:ascii="宋体" w:hAnsi="宋体" w:cs="宋体"/>
          <w:b w:val="0"/>
          <w:bCs/>
          <w:sz w:val="24"/>
          <w:lang w:val="en-US" w:eastAsia="zh-CN"/>
        </w:rPr>
        <w:t>5、其它要求及试验方法按MT818.5-1999执行标准</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6、电缆绝缘主线芯之间及主线芯与地线之间的绝缘电阻,换算到+20℃时不低于100MΩ/km。</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7、主线芯屏蔽层的过渡电阻换算到20℃时不高于3kΩ。</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8、产品标准：MT818.5-1999。</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9、MYQ</w:t>
      </w:r>
      <w:bookmarkStart w:id="0" w:name="_GoBack"/>
      <w:bookmarkEnd w:id="0"/>
      <w:r>
        <w:rPr>
          <w:rFonts w:hint="eastAsia" w:ascii="宋体" w:hAnsi="宋体" w:cs="宋体"/>
          <w:b w:val="0"/>
          <w:bCs/>
          <w:sz w:val="24"/>
          <w:lang w:val="en-US" w:eastAsia="zh-CN"/>
        </w:rPr>
        <w:t>型电缆有3个带绝缘屏蔽的主线芯，围绕半导电橡皮层垫芯绞合成缆。外面挤包黑色氯化聚乙烯橡皮护套或黑色氯丁橡皮护套加厚更安全。</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10、导电线芯：采用软铜线，其性能符合 GB/T3956-1997。</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11、绝缘：采用GB7594.2-1987中XJ-00A型橡皮。           </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12、线芯识别：采用绝缘分色识别，主线芯红、绿、白。</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13、地线：采用半导电橡皮包覆。</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14、绝缘屏蔽：在绝缘表面包半导电带。</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15、成缆：3个主线芯绕半导电橡皮垫芯按右向绞合成缆。</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16、护套：采用GB7594.7-1987中XH-03A型橡皮。护套橡皮的氧指数≥40。</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17、成品电缆的阻燃性能满足MT386-1995的要求。</w:t>
      </w:r>
      <w:r>
        <w:rPr>
          <w:rFonts w:hint="eastAsia" w:ascii="宋体" w:hAnsi="宋体" w:cs="宋体"/>
          <w:b w:val="0"/>
          <w:bCs/>
          <w:sz w:val="24"/>
          <w:lang w:val="en-US" w:eastAsia="zh-CN"/>
        </w:rPr>
        <w:br w:type="textWrapping"/>
      </w:r>
      <w:r>
        <w:rPr>
          <w:rFonts w:hint="eastAsia" w:ascii="宋体" w:hAnsi="宋体" w:cs="宋体"/>
          <w:b w:val="0"/>
          <w:bCs/>
          <w:sz w:val="24"/>
          <w:lang w:val="en-US" w:eastAsia="zh-CN"/>
        </w:rPr>
        <w:t>18、电缆标志：电缆表面印有型号、电压、规格及制造厂</w:t>
      </w:r>
    </w:p>
    <w:p>
      <w:pPr>
        <w:rPr>
          <w:rFonts w:hint="eastAsia"/>
        </w:rPr>
      </w:pPr>
    </w:p>
    <w:p>
      <w:pPr>
        <w:pStyle w:val="2"/>
        <w:rPr>
          <w:rFonts w:hint="eastAsia"/>
        </w:rPr>
      </w:pPr>
    </w:p>
    <w:p>
      <w:pPr>
        <w:numPr>
          <w:ilvl w:val="0"/>
          <w:numId w:val="0"/>
        </w:numPr>
        <w:spacing w:line="560" w:lineRule="exact"/>
        <w:outlineLvl w:val="0"/>
        <w:rPr>
          <w:rFonts w:hint="eastAsia" w:ascii="宋体" w:hAnsi="宋体" w:cs="宋体"/>
          <w:b/>
          <w:bCs/>
          <w:spacing w:val="-5"/>
          <w:kern w:val="0"/>
          <w:sz w:val="28"/>
          <w:szCs w:val="28"/>
        </w:rPr>
      </w:pPr>
      <w:r>
        <w:rPr>
          <w:rFonts w:hint="eastAsia" w:ascii="宋体" w:hAnsi="宋体" w:cs="宋体"/>
          <w:b/>
          <w:bCs/>
          <w:spacing w:val="-5"/>
          <w:kern w:val="0"/>
          <w:sz w:val="28"/>
          <w:szCs w:val="28"/>
          <w:lang w:val="en-US" w:eastAsia="zh-CN"/>
        </w:rPr>
        <w:t>四、</w:t>
      </w:r>
      <w:r>
        <w:rPr>
          <w:rFonts w:hint="eastAsia" w:ascii="宋体" w:hAnsi="宋体" w:cs="宋体"/>
          <w:b/>
          <w:bCs/>
          <w:spacing w:val="-5"/>
          <w:kern w:val="0"/>
          <w:sz w:val="28"/>
          <w:szCs w:val="28"/>
        </w:rPr>
        <w:t>主要设备清单</w:t>
      </w:r>
    </w:p>
    <w:p>
      <w:pPr>
        <w:pStyle w:val="2"/>
        <w:numPr>
          <w:ilvl w:val="0"/>
          <w:numId w:val="0"/>
        </w:numPr>
        <w:ind w:leftChars="200"/>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571"/>
        <w:gridCol w:w="2121"/>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1" w:type="dxa"/>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1571" w:type="dxa"/>
            <w:vAlign w:val="center"/>
          </w:tcPr>
          <w:p>
            <w:pPr>
              <w:adjustRightInd w:val="0"/>
              <w:snapToGrid w:val="0"/>
              <w:jc w:val="center"/>
              <w:rPr>
                <w:rFonts w:ascii="宋体" w:hAnsi="宋体" w:cs="宋体"/>
                <w:szCs w:val="21"/>
              </w:rPr>
            </w:pPr>
            <w:r>
              <w:rPr>
                <w:rFonts w:hint="eastAsia" w:ascii="宋体" w:hAnsi="宋体" w:cs="宋体"/>
                <w:szCs w:val="21"/>
              </w:rPr>
              <w:t>名称</w:t>
            </w:r>
          </w:p>
        </w:tc>
        <w:tc>
          <w:tcPr>
            <w:tcW w:w="2121" w:type="dxa"/>
            <w:vAlign w:val="center"/>
          </w:tcPr>
          <w:p>
            <w:pPr>
              <w:adjustRightInd w:val="0"/>
              <w:snapToGrid w:val="0"/>
              <w:jc w:val="center"/>
              <w:rPr>
                <w:rFonts w:ascii="宋体" w:hAnsi="宋体" w:cs="宋体"/>
                <w:szCs w:val="21"/>
              </w:rPr>
            </w:pPr>
            <w:r>
              <w:rPr>
                <w:rFonts w:hint="eastAsia" w:ascii="宋体" w:hAnsi="宋体" w:cs="宋体"/>
                <w:szCs w:val="21"/>
              </w:rPr>
              <w:t>规格型号</w:t>
            </w:r>
          </w:p>
        </w:tc>
        <w:tc>
          <w:tcPr>
            <w:tcW w:w="1286" w:type="dxa"/>
            <w:vAlign w:val="center"/>
          </w:tcPr>
          <w:p>
            <w:pPr>
              <w:adjustRightInd w:val="0"/>
              <w:snapToGrid w:val="0"/>
              <w:jc w:val="center"/>
              <w:rPr>
                <w:rFonts w:ascii="宋体" w:hAnsi="宋体" w:cs="宋体"/>
                <w:szCs w:val="21"/>
              </w:rPr>
            </w:pPr>
            <w:r>
              <w:rPr>
                <w:rFonts w:hint="eastAsia" w:ascii="宋体" w:hAnsi="宋体" w:cs="宋体"/>
                <w:szCs w:val="21"/>
              </w:rPr>
              <w:t>单位</w:t>
            </w:r>
          </w:p>
        </w:tc>
        <w:tc>
          <w:tcPr>
            <w:tcW w:w="1286" w:type="dxa"/>
            <w:vAlign w:val="center"/>
          </w:tcPr>
          <w:p>
            <w:pPr>
              <w:adjustRightInd w:val="0"/>
              <w:snapToGrid w:val="0"/>
              <w:jc w:val="center"/>
              <w:rPr>
                <w:rFonts w:ascii="宋体" w:hAnsi="宋体" w:cs="宋体"/>
                <w:szCs w:val="21"/>
              </w:rPr>
            </w:pPr>
            <w:r>
              <w:rPr>
                <w:rFonts w:hint="eastAsia" w:ascii="宋体" w:hAnsi="宋体" w:cs="宋体"/>
                <w:szCs w:val="21"/>
              </w:rPr>
              <w:t>数量</w:t>
            </w:r>
          </w:p>
        </w:tc>
        <w:tc>
          <w:tcPr>
            <w:tcW w:w="1286" w:type="dxa"/>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71"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1571"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电源电缆</w:t>
            </w:r>
          </w:p>
        </w:tc>
        <w:tc>
          <w:tcPr>
            <w:tcW w:w="2121" w:type="dxa"/>
            <w:vAlign w:val="center"/>
          </w:tcPr>
          <w:p>
            <w:pPr>
              <w:adjustRightInd w:val="0"/>
              <w:snapToGrid w:val="0"/>
              <w:jc w:val="center"/>
              <w:rPr>
                <w:rFonts w:ascii="宋体" w:hAnsi="宋体" w:cs="宋体"/>
                <w:szCs w:val="21"/>
              </w:rPr>
            </w:pPr>
            <w:r>
              <w:rPr>
                <w:rFonts w:hint="eastAsia" w:ascii="宋体" w:hAnsi="宋体" w:cs="宋体"/>
                <w:b w:val="0"/>
                <w:bCs/>
                <w:sz w:val="24"/>
                <w:szCs w:val="22"/>
                <w:lang w:val="en-US" w:eastAsia="zh-CN"/>
              </w:rPr>
              <w:t>MYP3*4+1*4</w:t>
            </w:r>
          </w:p>
        </w:tc>
        <w:tc>
          <w:tcPr>
            <w:tcW w:w="1286" w:type="dxa"/>
            <w:vAlign w:val="center"/>
          </w:tcPr>
          <w:p>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米</w:t>
            </w:r>
          </w:p>
        </w:tc>
        <w:tc>
          <w:tcPr>
            <w:tcW w:w="1286"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6000</w:t>
            </w:r>
          </w:p>
        </w:tc>
        <w:tc>
          <w:tcPr>
            <w:tcW w:w="1286" w:type="dxa"/>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71" w:type="dxa"/>
            <w:vAlign w:val="center"/>
          </w:tcPr>
          <w:p>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571"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广播电源电缆</w:t>
            </w:r>
          </w:p>
        </w:tc>
        <w:tc>
          <w:tcPr>
            <w:tcW w:w="2121"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b w:val="0"/>
                <w:bCs/>
                <w:sz w:val="24"/>
                <w:lang w:val="en-US" w:eastAsia="zh-CN"/>
              </w:rPr>
              <w:t>MYQ-3*2.5</w:t>
            </w:r>
          </w:p>
        </w:tc>
        <w:tc>
          <w:tcPr>
            <w:tcW w:w="1286" w:type="dxa"/>
            <w:vAlign w:val="center"/>
          </w:tcPr>
          <w:p>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米</w:t>
            </w:r>
          </w:p>
        </w:tc>
        <w:tc>
          <w:tcPr>
            <w:tcW w:w="1286"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8000</w:t>
            </w:r>
          </w:p>
        </w:tc>
        <w:tc>
          <w:tcPr>
            <w:tcW w:w="1286" w:type="dxa"/>
            <w:vAlign w:val="center"/>
          </w:tcPr>
          <w:p>
            <w:pPr>
              <w:adjustRightInd w:val="0"/>
              <w:snapToGrid w:val="0"/>
              <w:jc w:val="center"/>
              <w:rPr>
                <w:rFonts w:hint="eastAsia" w:ascii="宋体" w:hAnsi="宋体" w:eastAsia="宋体" w:cs="宋体"/>
                <w:szCs w:val="21"/>
                <w:lang w:val="en-US" w:eastAsia="zh-CN"/>
              </w:rPr>
            </w:pPr>
          </w:p>
        </w:tc>
      </w:tr>
    </w:tbl>
    <w:p>
      <w:pPr>
        <w:pStyle w:val="7"/>
      </w:pPr>
    </w:p>
    <w:p>
      <w:pPr>
        <w:spacing w:line="560" w:lineRule="exact"/>
        <w:outlineLvl w:val="0"/>
        <w:rPr>
          <w:rFonts w:ascii="宋体" w:hAnsi="宋体" w:cs="宋体"/>
          <w:b/>
          <w:bCs/>
          <w:spacing w:val="-5"/>
          <w:kern w:val="0"/>
          <w:sz w:val="28"/>
          <w:szCs w:val="28"/>
        </w:rPr>
      </w:pPr>
      <w:r>
        <w:rPr>
          <w:rFonts w:hint="eastAsia" w:ascii="宋体" w:hAnsi="宋体" w:cs="宋体"/>
          <w:b/>
          <w:bCs/>
          <w:spacing w:val="-5"/>
          <w:kern w:val="0"/>
          <w:sz w:val="28"/>
          <w:szCs w:val="28"/>
          <w:lang w:val="en-US" w:eastAsia="zh-CN"/>
        </w:rPr>
        <w:t>五、</w:t>
      </w:r>
      <w:r>
        <w:rPr>
          <w:rFonts w:hint="eastAsia" w:ascii="宋体" w:hAnsi="宋体" w:cs="宋体"/>
          <w:b/>
          <w:bCs/>
          <w:spacing w:val="-5"/>
          <w:kern w:val="0"/>
          <w:sz w:val="28"/>
          <w:szCs w:val="28"/>
        </w:rPr>
        <w:t>其他要求</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1.应保证设备为全新的，满足国家相关规定的标准和要求及协议规定的质量、规格和性能。</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2.设备质保期一年。在质保范围和质保期限内发生质量问题由中标方承担。</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3.在设备检验和验收过程中，如发现不符合技术要求的产品或配件，中标方应及时更换，直至符合规定要求为止。</w:t>
      </w:r>
    </w:p>
    <w:p>
      <w:pPr>
        <w:pStyle w:val="7"/>
      </w:pPr>
    </w:p>
    <w:p/>
    <w:p>
      <w:pPr>
        <w:pStyle w:val="7"/>
      </w:pPr>
    </w:p>
    <w:p/>
    <w:p>
      <w:pPr>
        <w:pStyle w:val="7"/>
      </w:pPr>
    </w:p>
    <w:p/>
    <w:p>
      <w:pPr>
        <w:pStyle w:val="7"/>
      </w:pPr>
    </w:p>
    <w:p>
      <w:pPr>
        <w:spacing w:line="560" w:lineRule="exact"/>
        <w:rPr>
          <w:rFonts w:ascii="宋体" w:hAnsi="宋体" w:cs="宋体"/>
          <w:spacing w:val="-5"/>
          <w:kern w:val="0"/>
          <w:sz w:val="28"/>
          <w:szCs w:val="28"/>
        </w:rPr>
      </w:pPr>
    </w:p>
    <w:p>
      <w:pPr>
        <w:pStyle w:val="23"/>
        <w:spacing w:line="560" w:lineRule="exact"/>
      </w:pPr>
    </w:p>
    <w:p>
      <w:pPr>
        <w:pStyle w:val="11"/>
        <w:spacing w:line="560" w:lineRule="exact"/>
        <w:rPr>
          <w:rFonts w:ascii="宋体" w:hAnsi="宋体" w:eastAsia="宋体" w:cs="宋体"/>
        </w:rPr>
      </w:pPr>
    </w:p>
    <w:sectPr>
      <w:footerReference r:id="rId3" w:type="default"/>
      <w:footerReference r:id="rId4" w:type="even"/>
      <w:pgSz w:w="11907" w:h="16839"/>
      <w:pgMar w:top="1440" w:right="1080" w:bottom="1440" w:left="1080" w:header="851" w:footer="992" w:gutter="0"/>
      <w:pgBorders>
        <w:top w:val="none" w:sz="0" w:space="0"/>
        <w:left w:val="none" w:sz="0" w:space="0"/>
        <w:bottom w:val="none" w:sz="0" w:space="0"/>
        <w:right w:val="none" w:sz="0" w:space="0"/>
      </w:pgBorders>
      <w:cols w:space="720" w:num="1"/>
      <w:docGrid w:type="lines" w:linePitch="3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微软雅黑"/>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p>
    <w:r>
      <w:rPr>
        <w:rFonts w:hint="eastAsia"/>
      </w:rPr>
      <w:t xml:space="preserve">                                  </w:t>
    </w:r>
    <w:r>
      <w:fldChar w:fldCharType="begin"/>
    </w:r>
    <w:r>
      <w:instrText xml:space="preserve"> PAGE   \* MERGEFORMAT </w:instrText>
    </w:r>
    <w:r>
      <w:fldChar w:fldCharType="separate"/>
    </w:r>
    <w:r>
      <w:rPr>
        <w:lang w:val="zh-CN"/>
      </w:rPr>
      <w:t>30</w:t>
    </w:r>
    <w:r>
      <w:rPr>
        <w:lang w:val="zh-CN"/>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1"/>
    <w:multiLevelType w:val="multilevel"/>
    <w:tmpl w:val="00000021"/>
    <w:lvl w:ilvl="0" w:tentative="0">
      <w:start w:val="1"/>
      <w:numFmt w:val="lowerLetter"/>
      <w:pStyle w:val="7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9BF17BF"/>
    <w:multiLevelType w:val="multilevel"/>
    <w:tmpl w:val="39BF17BF"/>
    <w:lvl w:ilvl="0" w:tentative="0">
      <w:start w:val="1"/>
      <w:numFmt w:val="lowerLetter"/>
      <w:pStyle w:val="79"/>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2A4066D"/>
    <w:multiLevelType w:val="multilevel"/>
    <w:tmpl w:val="62A4066D"/>
    <w:lvl w:ilvl="0" w:tentative="0">
      <w:start w:val="1"/>
      <w:numFmt w:val="chineseCountingThousand"/>
      <w:lvlText w:val="%1、"/>
      <w:lvlJc w:val="left"/>
      <w:pPr>
        <w:tabs>
          <w:tab w:val="left" w:pos="3125"/>
        </w:tabs>
        <w:ind w:left="3125" w:hanging="432"/>
      </w:pPr>
      <w:rPr>
        <w:rFonts w:hint="eastAsia" w:asciiTheme="minorEastAsia" w:hAnsiTheme="minorEastAsia" w:eastAsiaTheme="minorEastAsia"/>
        <w:b/>
        <w:sz w:val="32"/>
        <w:szCs w:val="32"/>
      </w:rPr>
    </w:lvl>
    <w:lvl w:ilvl="1" w:tentative="0">
      <w:start w:val="1"/>
      <w:numFmt w:val="decimal"/>
      <w:isLgl/>
      <w:lvlText w:val="%1.%2"/>
      <w:lvlJc w:val="left"/>
      <w:pPr>
        <w:tabs>
          <w:tab w:val="left" w:pos="2276"/>
        </w:tabs>
        <w:ind w:left="2276" w:hanging="576"/>
      </w:pPr>
      <w:rPr>
        <w:rFonts w:hint="default" w:ascii="Arial" w:hAnsi="Arial" w:cs="Arial"/>
        <w:b/>
        <w:sz w:val="28"/>
        <w:szCs w:val="28"/>
      </w:rPr>
    </w:lvl>
    <w:lvl w:ilvl="2" w:tentative="0">
      <w:start w:val="1"/>
      <w:numFmt w:val="decimal"/>
      <w:isLgl/>
      <w:lvlText w:val="%1.%2.%3"/>
      <w:lvlJc w:val="left"/>
      <w:pPr>
        <w:tabs>
          <w:tab w:val="left" w:pos="2420"/>
        </w:tabs>
        <w:ind w:left="2420" w:hanging="720"/>
      </w:pPr>
      <w:rPr>
        <w:rFonts w:hint="default" w:ascii="Arial" w:hAnsi="Arial" w:cs="Arial"/>
        <w:b/>
        <w:sz w:val="24"/>
        <w:szCs w:val="24"/>
      </w:rPr>
    </w:lvl>
    <w:lvl w:ilvl="3" w:tentative="0">
      <w:start w:val="1"/>
      <w:numFmt w:val="decimal"/>
      <w:isLgl/>
      <w:lvlText w:val="%1.%2.%3.%4"/>
      <w:lvlJc w:val="left"/>
      <w:pPr>
        <w:tabs>
          <w:tab w:val="left" w:pos="2564"/>
        </w:tabs>
        <w:ind w:left="2564" w:hanging="864"/>
      </w:pPr>
      <w:rPr>
        <w:rFonts w:hint="default" w:ascii="Arial" w:hAnsi="Arial" w:cs="Arial"/>
        <w:b/>
        <w:bCs w:val="0"/>
        <w:i w:val="0"/>
        <w:iCs w:val="0"/>
        <w:caps w:val="0"/>
        <w:smallCaps w:val="0"/>
        <w:strike w:val="0"/>
        <w:dstrike w:val="0"/>
        <w:vanish w:val="0"/>
        <w:spacing w:val="0"/>
        <w:position w:val="0"/>
        <w:u w:val="none"/>
        <w:vertAlign w:val="baseline"/>
      </w:rPr>
    </w:lvl>
    <w:lvl w:ilvl="4" w:tentative="0">
      <w:start w:val="1"/>
      <w:numFmt w:val="decimal"/>
      <w:isLgl/>
      <w:lvlText w:val="%1.%2.%3.%4.%5"/>
      <w:lvlJc w:val="left"/>
      <w:pPr>
        <w:tabs>
          <w:tab w:val="left" w:pos="2708"/>
        </w:tabs>
        <w:ind w:left="2708" w:hanging="1008"/>
      </w:pPr>
      <w:rPr>
        <w:rFonts w:hint="eastAsia"/>
      </w:rPr>
    </w:lvl>
    <w:lvl w:ilvl="5" w:tentative="0">
      <w:start w:val="1"/>
      <w:numFmt w:val="decimal"/>
      <w:lvlText w:val="%1.%2.%3.%4.%5.%6"/>
      <w:lvlJc w:val="left"/>
      <w:pPr>
        <w:tabs>
          <w:tab w:val="left" w:pos="2852"/>
        </w:tabs>
        <w:ind w:left="2852" w:hanging="1152"/>
      </w:pPr>
      <w:rPr>
        <w:rFonts w:hint="eastAsia"/>
      </w:rPr>
    </w:lvl>
    <w:lvl w:ilvl="6" w:tentative="0">
      <w:start w:val="1"/>
      <w:numFmt w:val="decimal"/>
      <w:lvlText w:val="%1.%2.%3.%4.%5.%6.%7"/>
      <w:lvlJc w:val="left"/>
      <w:pPr>
        <w:tabs>
          <w:tab w:val="left" w:pos="2996"/>
        </w:tabs>
        <w:ind w:left="2996" w:hanging="1296"/>
      </w:pPr>
      <w:rPr>
        <w:rFonts w:hint="eastAsia"/>
      </w:rPr>
    </w:lvl>
    <w:lvl w:ilvl="7" w:tentative="0">
      <w:start w:val="1"/>
      <w:numFmt w:val="decimal"/>
      <w:lvlText w:val="%1.%2.%3.%4.%5.%6.%7.%8"/>
      <w:lvlJc w:val="left"/>
      <w:pPr>
        <w:tabs>
          <w:tab w:val="left" w:pos="3140"/>
        </w:tabs>
        <w:ind w:left="3140" w:hanging="1440"/>
      </w:pPr>
      <w:rPr>
        <w:rFonts w:hint="eastAsia"/>
      </w:rPr>
    </w:lvl>
    <w:lvl w:ilvl="8" w:tentative="0">
      <w:start w:val="1"/>
      <w:numFmt w:val="decimal"/>
      <w:lvlText w:val="%1.%2.%3.%4.%5.%6.%7.%8.%9"/>
      <w:lvlJc w:val="left"/>
      <w:pPr>
        <w:tabs>
          <w:tab w:val="left" w:pos="3284"/>
        </w:tabs>
        <w:ind w:left="3284" w:hanging="1584"/>
      </w:pPr>
      <w:rPr>
        <w:rFonts w:hint="eastAsia"/>
      </w:rPr>
    </w:lvl>
  </w:abstractNum>
  <w:abstractNum w:abstractNumId="3">
    <w:nsid w:val="68EE5213"/>
    <w:multiLevelType w:val="multilevel"/>
    <w:tmpl w:val="68EE521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pStyle w:val="37"/>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lvlOverride w:ilvl="0">
      <w:lvl w:ilvl="0" w:tentative="1">
        <w:start w:val="1"/>
        <w:numFmt w:val="chineseCountingThousand"/>
        <w:lvlText w:val="第%1章"/>
        <w:lvlJc w:val="left"/>
        <w:pPr>
          <w:tabs>
            <w:tab w:val="left" w:pos="432"/>
          </w:tabs>
          <w:ind w:left="432" w:hanging="432"/>
        </w:pPr>
        <w:rPr>
          <w:rFonts w:hint="eastAsia"/>
        </w:rPr>
      </w:lvl>
    </w:lvlOverride>
    <w:lvlOverride w:ilvl="1">
      <w:lvl w:ilvl="1" w:tentative="1">
        <w:start w:val="1"/>
        <w:numFmt w:val="decimal"/>
        <w:isLgl/>
        <w:lvlText w:val="%1.%2"/>
        <w:lvlJc w:val="left"/>
        <w:pPr>
          <w:tabs>
            <w:tab w:val="left" w:pos="576"/>
          </w:tabs>
          <w:ind w:left="576" w:hanging="576"/>
        </w:pPr>
        <w:rPr>
          <w:rFonts w:hint="default" w:cs="Arial" w:asciiTheme="minorEastAsia" w:hAnsiTheme="minorEastAsia" w:eastAsiaTheme="minorEastAsia"/>
          <w:b/>
          <w:sz w:val="30"/>
          <w:szCs w:val="30"/>
        </w:rPr>
      </w:lvl>
    </w:lvlOverride>
    <w:lvlOverride w:ilvl="2">
      <w:lvl w:ilvl="2" w:tentative="1">
        <w:start w:val="1"/>
        <w:numFmt w:val="decimal"/>
        <w:pStyle w:val="4"/>
        <w:isLgl/>
        <w:lvlText w:val="%1.%2.%3"/>
        <w:lvlJc w:val="left"/>
        <w:pPr>
          <w:tabs>
            <w:tab w:val="left" w:pos="720"/>
          </w:tabs>
          <w:ind w:left="720" w:hanging="720"/>
        </w:pPr>
        <w:rPr>
          <w:rFonts w:hint="default" w:cs="Arial" w:asciiTheme="minorEastAsia" w:hAnsiTheme="minorEastAsia" w:eastAsiaTheme="minorEastAsia"/>
          <w:b/>
          <w:sz w:val="28"/>
          <w:szCs w:val="28"/>
        </w:rPr>
      </w:lvl>
    </w:lvlOverride>
    <w:lvlOverride w:ilvl="3">
      <w:lvl w:ilvl="3" w:tentative="1">
        <w:start w:val="1"/>
        <w:numFmt w:val="decimal"/>
        <w:isLgl/>
        <w:lvlText w:val="%1.%2.%3.%4"/>
        <w:lvlJc w:val="left"/>
        <w:pPr>
          <w:tabs>
            <w:tab w:val="left" w:pos="864"/>
          </w:tabs>
          <w:ind w:left="864" w:hanging="864"/>
        </w:pPr>
        <w:rPr>
          <w:rFonts w:hint="default" w:cs="Arial" w:asciiTheme="minorEastAsia" w:hAnsiTheme="minorEastAsia" w:eastAsiaTheme="minorEastAsia"/>
          <w:b/>
          <w:bCs w:val="0"/>
          <w:i w:val="0"/>
          <w:iCs w:val="0"/>
          <w:caps w:val="0"/>
          <w:smallCaps w:val="0"/>
          <w:strike w:val="0"/>
          <w:dstrike w:val="0"/>
          <w:vanish w:val="0"/>
          <w:spacing w:val="0"/>
          <w:position w:val="0"/>
          <w:sz w:val="24"/>
          <w:szCs w:val="24"/>
          <w:u w:val="none"/>
          <w:vertAlign w:val="baseline"/>
        </w:rPr>
      </w:lvl>
    </w:lvlOverride>
    <w:lvlOverride w:ilvl="4">
      <w:lvl w:ilvl="4" w:tentative="1">
        <w:start w:val="1"/>
        <w:numFmt w:val="decimal"/>
        <w:isLg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hideSpellingErrors/>
  <w:hideGrammaticalErrors/>
  <w:documentProtection w:enforcement="0"/>
  <w:defaultTabStop w:val="425"/>
  <w:drawingGridHorizontalSpacing w:val="105"/>
  <w:drawingGridVerticalSpacing w:val="309"/>
  <w:displayHorizontalDrawingGridEvery w:val="2"/>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MjVjOGYzYWQwMzgwYmNlZmRkZjA1M2QwNzkwNTcifQ=="/>
  </w:docVars>
  <w:rsids>
    <w:rsidRoot w:val="00172A27"/>
    <w:rsid w:val="00000DB9"/>
    <w:rsid w:val="0000181C"/>
    <w:rsid w:val="000029D1"/>
    <w:rsid w:val="00006D24"/>
    <w:rsid w:val="00007B7A"/>
    <w:rsid w:val="00011A3E"/>
    <w:rsid w:val="000122EC"/>
    <w:rsid w:val="000123F3"/>
    <w:rsid w:val="000127A9"/>
    <w:rsid w:val="00013327"/>
    <w:rsid w:val="00013540"/>
    <w:rsid w:val="00013CC9"/>
    <w:rsid w:val="00014655"/>
    <w:rsid w:val="00014A97"/>
    <w:rsid w:val="000207AC"/>
    <w:rsid w:val="0002227E"/>
    <w:rsid w:val="000227C0"/>
    <w:rsid w:val="00022BED"/>
    <w:rsid w:val="00023122"/>
    <w:rsid w:val="000243C3"/>
    <w:rsid w:val="00030D47"/>
    <w:rsid w:val="00032287"/>
    <w:rsid w:val="0003333A"/>
    <w:rsid w:val="0003386F"/>
    <w:rsid w:val="0003603E"/>
    <w:rsid w:val="0003773C"/>
    <w:rsid w:val="00037A9A"/>
    <w:rsid w:val="00037ED9"/>
    <w:rsid w:val="00045065"/>
    <w:rsid w:val="000475C1"/>
    <w:rsid w:val="000502AF"/>
    <w:rsid w:val="00053654"/>
    <w:rsid w:val="00053EA4"/>
    <w:rsid w:val="000549C7"/>
    <w:rsid w:val="00054B8B"/>
    <w:rsid w:val="00056ABF"/>
    <w:rsid w:val="00056B15"/>
    <w:rsid w:val="00057973"/>
    <w:rsid w:val="000579AD"/>
    <w:rsid w:val="000634BE"/>
    <w:rsid w:val="00064364"/>
    <w:rsid w:val="000661D8"/>
    <w:rsid w:val="000664AA"/>
    <w:rsid w:val="000671E0"/>
    <w:rsid w:val="00067BC4"/>
    <w:rsid w:val="00072452"/>
    <w:rsid w:val="000815E6"/>
    <w:rsid w:val="0008440E"/>
    <w:rsid w:val="00086B82"/>
    <w:rsid w:val="00090953"/>
    <w:rsid w:val="0009381B"/>
    <w:rsid w:val="00093BE1"/>
    <w:rsid w:val="00093C28"/>
    <w:rsid w:val="00093F0E"/>
    <w:rsid w:val="00093F6A"/>
    <w:rsid w:val="000946EC"/>
    <w:rsid w:val="000952F0"/>
    <w:rsid w:val="000968EF"/>
    <w:rsid w:val="000A1C8A"/>
    <w:rsid w:val="000A2A95"/>
    <w:rsid w:val="000A2C07"/>
    <w:rsid w:val="000B072F"/>
    <w:rsid w:val="000B1473"/>
    <w:rsid w:val="000B2F39"/>
    <w:rsid w:val="000B34B5"/>
    <w:rsid w:val="000B3C1D"/>
    <w:rsid w:val="000B6BC7"/>
    <w:rsid w:val="000C08AF"/>
    <w:rsid w:val="000C0FF8"/>
    <w:rsid w:val="000C3810"/>
    <w:rsid w:val="000C534B"/>
    <w:rsid w:val="000C56EC"/>
    <w:rsid w:val="000C5A9A"/>
    <w:rsid w:val="000D086C"/>
    <w:rsid w:val="000D1622"/>
    <w:rsid w:val="000D229A"/>
    <w:rsid w:val="000D31F4"/>
    <w:rsid w:val="000D4325"/>
    <w:rsid w:val="000D4C33"/>
    <w:rsid w:val="000D4FF8"/>
    <w:rsid w:val="000D540F"/>
    <w:rsid w:val="000D56EB"/>
    <w:rsid w:val="000D619D"/>
    <w:rsid w:val="000D6910"/>
    <w:rsid w:val="000E3015"/>
    <w:rsid w:val="000E47F2"/>
    <w:rsid w:val="000E4DBD"/>
    <w:rsid w:val="000E506C"/>
    <w:rsid w:val="000E5AC0"/>
    <w:rsid w:val="000E623E"/>
    <w:rsid w:val="000E6D2E"/>
    <w:rsid w:val="000F0C0B"/>
    <w:rsid w:val="000F15FF"/>
    <w:rsid w:val="000F22D6"/>
    <w:rsid w:val="000F444D"/>
    <w:rsid w:val="000F5C46"/>
    <w:rsid w:val="0010224B"/>
    <w:rsid w:val="00104B9D"/>
    <w:rsid w:val="0010615B"/>
    <w:rsid w:val="00114837"/>
    <w:rsid w:val="00114B58"/>
    <w:rsid w:val="00115653"/>
    <w:rsid w:val="00120FD0"/>
    <w:rsid w:val="00121673"/>
    <w:rsid w:val="0012195A"/>
    <w:rsid w:val="00122A52"/>
    <w:rsid w:val="001238DA"/>
    <w:rsid w:val="001245AC"/>
    <w:rsid w:val="00126F94"/>
    <w:rsid w:val="0013058F"/>
    <w:rsid w:val="00131113"/>
    <w:rsid w:val="00133EC2"/>
    <w:rsid w:val="0013458A"/>
    <w:rsid w:val="00137E98"/>
    <w:rsid w:val="00143B4D"/>
    <w:rsid w:val="00144E2B"/>
    <w:rsid w:val="001477FC"/>
    <w:rsid w:val="00147BEA"/>
    <w:rsid w:val="00152F63"/>
    <w:rsid w:val="0015306F"/>
    <w:rsid w:val="00155468"/>
    <w:rsid w:val="00155CCB"/>
    <w:rsid w:val="0015603E"/>
    <w:rsid w:val="001568AC"/>
    <w:rsid w:val="0016009E"/>
    <w:rsid w:val="0016019B"/>
    <w:rsid w:val="00160ACE"/>
    <w:rsid w:val="00161F56"/>
    <w:rsid w:val="001622C0"/>
    <w:rsid w:val="001651BB"/>
    <w:rsid w:val="0016582A"/>
    <w:rsid w:val="00167DDF"/>
    <w:rsid w:val="00171613"/>
    <w:rsid w:val="001716A2"/>
    <w:rsid w:val="00172A27"/>
    <w:rsid w:val="00173413"/>
    <w:rsid w:val="00174F40"/>
    <w:rsid w:val="00175CB4"/>
    <w:rsid w:val="00176357"/>
    <w:rsid w:val="0017761F"/>
    <w:rsid w:val="00180190"/>
    <w:rsid w:val="0018517E"/>
    <w:rsid w:val="001865D4"/>
    <w:rsid w:val="0018686A"/>
    <w:rsid w:val="00187060"/>
    <w:rsid w:val="0019192F"/>
    <w:rsid w:val="001942B2"/>
    <w:rsid w:val="001A037A"/>
    <w:rsid w:val="001A0F3A"/>
    <w:rsid w:val="001A6629"/>
    <w:rsid w:val="001B3C36"/>
    <w:rsid w:val="001B3E57"/>
    <w:rsid w:val="001B4668"/>
    <w:rsid w:val="001B4D3F"/>
    <w:rsid w:val="001B4DB4"/>
    <w:rsid w:val="001B5665"/>
    <w:rsid w:val="001B6B65"/>
    <w:rsid w:val="001B6BD7"/>
    <w:rsid w:val="001B7968"/>
    <w:rsid w:val="001C2199"/>
    <w:rsid w:val="001C2B59"/>
    <w:rsid w:val="001C4761"/>
    <w:rsid w:val="001C47F4"/>
    <w:rsid w:val="001C5F74"/>
    <w:rsid w:val="001D08E2"/>
    <w:rsid w:val="001D1EE0"/>
    <w:rsid w:val="001D4441"/>
    <w:rsid w:val="001D4794"/>
    <w:rsid w:val="001D5139"/>
    <w:rsid w:val="001D55C6"/>
    <w:rsid w:val="001D589A"/>
    <w:rsid w:val="001D6426"/>
    <w:rsid w:val="001E157D"/>
    <w:rsid w:val="001E4429"/>
    <w:rsid w:val="001E44AE"/>
    <w:rsid w:val="001E6B7A"/>
    <w:rsid w:val="001E6B99"/>
    <w:rsid w:val="001F0314"/>
    <w:rsid w:val="001F285A"/>
    <w:rsid w:val="001F2B0B"/>
    <w:rsid w:val="001F3347"/>
    <w:rsid w:val="001F42FC"/>
    <w:rsid w:val="001F65AF"/>
    <w:rsid w:val="001F6691"/>
    <w:rsid w:val="00202DA2"/>
    <w:rsid w:val="0020307E"/>
    <w:rsid w:val="00205C17"/>
    <w:rsid w:val="002067A7"/>
    <w:rsid w:val="00207524"/>
    <w:rsid w:val="00210C1E"/>
    <w:rsid w:val="00213719"/>
    <w:rsid w:val="002148E2"/>
    <w:rsid w:val="00214E11"/>
    <w:rsid w:val="0022201E"/>
    <w:rsid w:val="002220F4"/>
    <w:rsid w:val="002254C7"/>
    <w:rsid w:val="00226B76"/>
    <w:rsid w:val="00232864"/>
    <w:rsid w:val="00232DCC"/>
    <w:rsid w:val="002408E0"/>
    <w:rsid w:val="002422EC"/>
    <w:rsid w:val="00244A4C"/>
    <w:rsid w:val="0025213A"/>
    <w:rsid w:val="00252875"/>
    <w:rsid w:val="002529F6"/>
    <w:rsid w:val="002541E7"/>
    <w:rsid w:val="00256835"/>
    <w:rsid w:val="002604BC"/>
    <w:rsid w:val="00264562"/>
    <w:rsid w:val="002679EB"/>
    <w:rsid w:val="00272C99"/>
    <w:rsid w:val="00273823"/>
    <w:rsid w:val="0027521B"/>
    <w:rsid w:val="002810C7"/>
    <w:rsid w:val="00282C5C"/>
    <w:rsid w:val="00284164"/>
    <w:rsid w:val="002852CB"/>
    <w:rsid w:val="002875D7"/>
    <w:rsid w:val="002879D6"/>
    <w:rsid w:val="002962CD"/>
    <w:rsid w:val="00296560"/>
    <w:rsid w:val="002A0165"/>
    <w:rsid w:val="002A1388"/>
    <w:rsid w:val="002A1769"/>
    <w:rsid w:val="002A37EB"/>
    <w:rsid w:val="002A5DA5"/>
    <w:rsid w:val="002B108C"/>
    <w:rsid w:val="002B3CC7"/>
    <w:rsid w:val="002B3F4C"/>
    <w:rsid w:val="002B4575"/>
    <w:rsid w:val="002B5140"/>
    <w:rsid w:val="002B5CE3"/>
    <w:rsid w:val="002B6757"/>
    <w:rsid w:val="002B6FFA"/>
    <w:rsid w:val="002B7280"/>
    <w:rsid w:val="002B761C"/>
    <w:rsid w:val="002C06FB"/>
    <w:rsid w:val="002C1D85"/>
    <w:rsid w:val="002C2031"/>
    <w:rsid w:val="002C344E"/>
    <w:rsid w:val="002C4243"/>
    <w:rsid w:val="002D0324"/>
    <w:rsid w:val="002E0AFE"/>
    <w:rsid w:val="002E0EF2"/>
    <w:rsid w:val="002E1B0C"/>
    <w:rsid w:val="002E252E"/>
    <w:rsid w:val="002E41AA"/>
    <w:rsid w:val="002E4E1D"/>
    <w:rsid w:val="002E5E61"/>
    <w:rsid w:val="002F1086"/>
    <w:rsid w:val="002F1512"/>
    <w:rsid w:val="002F469F"/>
    <w:rsid w:val="002F5659"/>
    <w:rsid w:val="002F56A8"/>
    <w:rsid w:val="002F6203"/>
    <w:rsid w:val="002F78A9"/>
    <w:rsid w:val="002F79FC"/>
    <w:rsid w:val="002F7F8A"/>
    <w:rsid w:val="003013C5"/>
    <w:rsid w:val="00302EAF"/>
    <w:rsid w:val="003045F6"/>
    <w:rsid w:val="003064A4"/>
    <w:rsid w:val="0031438A"/>
    <w:rsid w:val="003143BB"/>
    <w:rsid w:val="003147EB"/>
    <w:rsid w:val="00315B73"/>
    <w:rsid w:val="00316A9F"/>
    <w:rsid w:val="00317D23"/>
    <w:rsid w:val="0032244C"/>
    <w:rsid w:val="00323F66"/>
    <w:rsid w:val="003249A8"/>
    <w:rsid w:val="003251FF"/>
    <w:rsid w:val="003254EC"/>
    <w:rsid w:val="00326A18"/>
    <w:rsid w:val="0033156D"/>
    <w:rsid w:val="00332F66"/>
    <w:rsid w:val="0033403C"/>
    <w:rsid w:val="00336EDC"/>
    <w:rsid w:val="003433D9"/>
    <w:rsid w:val="003458DE"/>
    <w:rsid w:val="00346C7F"/>
    <w:rsid w:val="00347C1F"/>
    <w:rsid w:val="00350A8E"/>
    <w:rsid w:val="00353232"/>
    <w:rsid w:val="00353EB8"/>
    <w:rsid w:val="00354247"/>
    <w:rsid w:val="003544B5"/>
    <w:rsid w:val="003559A4"/>
    <w:rsid w:val="0036124A"/>
    <w:rsid w:val="00362745"/>
    <w:rsid w:val="0036288F"/>
    <w:rsid w:val="003635E4"/>
    <w:rsid w:val="00370F30"/>
    <w:rsid w:val="00371A0D"/>
    <w:rsid w:val="00372588"/>
    <w:rsid w:val="003750A7"/>
    <w:rsid w:val="00377760"/>
    <w:rsid w:val="0038303B"/>
    <w:rsid w:val="00383B67"/>
    <w:rsid w:val="00386412"/>
    <w:rsid w:val="003866B5"/>
    <w:rsid w:val="00386849"/>
    <w:rsid w:val="00387B20"/>
    <w:rsid w:val="00390556"/>
    <w:rsid w:val="00390E25"/>
    <w:rsid w:val="00391940"/>
    <w:rsid w:val="003964A8"/>
    <w:rsid w:val="00396DEC"/>
    <w:rsid w:val="003A0449"/>
    <w:rsid w:val="003A14E7"/>
    <w:rsid w:val="003A1A5D"/>
    <w:rsid w:val="003A3A10"/>
    <w:rsid w:val="003B06E5"/>
    <w:rsid w:val="003B36EC"/>
    <w:rsid w:val="003B5C6C"/>
    <w:rsid w:val="003B66A7"/>
    <w:rsid w:val="003B7922"/>
    <w:rsid w:val="003C1777"/>
    <w:rsid w:val="003C294E"/>
    <w:rsid w:val="003D2444"/>
    <w:rsid w:val="003D4FC5"/>
    <w:rsid w:val="003D544E"/>
    <w:rsid w:val="003D7FE0"/>
    <w:rsid w:val="003E029D"/>
    <w:rsid w:val="003E0DDC"/>
    <w:rsid w:val="003E24E0"/>
    <w:rsid w:val="003E2BC4"/>
    <w:rsid w:val="003E4705"/>
    <w:rsid w:val="003E47DD"/>
    <w:rsid w:val="003E5644"/>
    <w:rsid w:val="003E5910"/>
    <w:rsid w:val="003E73F5"/>
    <w:rsid w:val="003F0037"/>
    <w:rsid w:val="003F07C0"/>
    <w:rsid w:val="003F4064"/>
    <w:rsid w:val="003F459D"/>
    <w:rsid w:val="003F4858"/>
    <w:rsid w:val="003F5363"/>
    <w:rsid w:val="003F69DC"/>
    <w:rsid w:val="00401495"/>
    <w:rsid w:val="00402F98"/>
    <w:rsid w:val="00403026"/>
    <w:rsid w:val="00413187"/>
    <w:rsid w:val="00415C26"/>
    <w:rsid w:val="004200D6"/>
    <w:rsid w:val="00420885"/>
    <w:rsid w:val="004210A7"/>
    <w:rsid w:val="0042478A"/>
    <w:rsid w:val="00425A42"/>
    <w:rsid w:val="00430592"/>
    <w:rsid w:val="004310ED"/>
    <w:rsid w:val="00432371"/>
    <w:rsid w:val="00435FA1"/>
    <w:rsid w:val="00436E45"/>
    <w:rsid w:val="0043718A"/>
    <w:rsid w:val="0044058A"/>
    <w:rsid w:val="004506A9"/>
    <w:rsid w:val="00454BA6"/>
    <w:rsid w:val="00461C44"/>
    <w:rsid w:val="004664F7"/>
    <w:rsid w:val="00466B87"/>
    <w:rsid w:val="00470E54"/>
    <w:rsid w:val="00473B7B"/>
    <w:rsid w:val="0047422F"/>
    <w:rsid w:val="004742E1"/>
    <w:rsid w:val="00475102"/>
    <w:rsid w:val="00475903"/>
    <w:rsid w:val="00476529"/>
    <w:rsid w:val="00477A53"/>
    <w:rsid w:val="00481157"/>
    <w:rsid w:val="0048147E"/>
    <w:rsid w:val="00481867"/>
    <w:rsid w:val="00483731"/>
    <w:rsid w:val="0048563A"/>
    <w:rsid w:val="00487854"/>
    <w:rsid w:val="00494F36"/>
    <w:rsid w:val="004950F8"/>
    <w:rsid w:val="0049541B"/>
    <w:rsid w:val="004961CD"/>
    <w:rsid w:val="004A102D"/>
    <w:rsid w:val="004A39CC"/>
    <w:rsid w:val="004A5124"/>
    <w:rsid w:val="004A55A4"/>
    <w:rsid w:val="004A6120"/>
    <w:rsid w:val="004A777E"/>
    <w:rsid w:val="004B37C9"/>
    <w:rsid w:val="004B3D48"/>
    <w:rsid w:val="004B40A2"/>
    <w:rsid w:val="004B5112"/>
    <w:rsid w:val="004C0AE3"/>
    <w:rsid w:val="004C117E"/>
    <w:rsid w:val="004C2342"/>
    <w:rsid w:val="004C5022"/>
    <w:rsid w:val="004C5A03"/>
    <w:rsid w:val="004C6E67"/>
    <w:rsid w:val="004C7904"/>
    <w:rsid w:val="004D1C30"/>
    <w:rsid w:val="004D33B1"/>
    <w:rsid w:val="004E14FB"/>
    <w:rsid w:val="004E17B8"/>
    <w:rsid w:val="004E1EA4"/>
    <w:rsid w:val="004E20D4"/>
    <w:rsid w:val="004E439B"/>
    <w:rsid w:val="004E4F35"/>
    <w:rsid w:val="004E7EDD"/>
    <w:rsid w:val="004F09E0"/>
    <w:rsid w:val="004F1827"/>
    <w:rsid w:val="004F2E1C"/>
    <w:rsid w:val="004F4169"/>
    <w:rsid w:val="004F4342"/>
    <w:rsid w:val="004F472A"/>
    <w:rsid w:val="004F650B"/>
    <w:rsid w:val="00504513"/>
    <w:rsid w:val="005050D3"/>
    <w:rsid w:val="005105C8"/>
    <w:rsid w:val="00512736"/>
    <w:rsid w:val="00513154"/>
    <w:rsid w:val="005176B6"/>
    <w:rsid w:val="00523100"/>
    <w:rsid w:val="0052371D"/>
    <w:rsid w:val="0052673C"/>
    <w:rsid w:val="0052785B"/>
    <w:rsid w:val="005308E6"/>
    <w:rsid w:val="00532AF9"/>
    <w:rsid w:val="00533DD4"/>
    <w:rsid w:val="005365A3"/>
    <w:rsid w:val="005405F3"/>
    <w:rsid w:val="00543776"/>
    <w:rsid w:val="00543D16"/>
    <w:rsid w:val="00543E44"/>
    <w:rsid w:val="00546C06"/>
    <w:rsid w:val="00546C7A"/>
    <w:rsid w:val="00546F70"/>
    <w:rsid w:val="005473D7"/>
    <w:rsid w:val="00552812"/>
    <w:rsid w:val="005534E2"/>
    <w:rsid w:val="00555471"/>
    <w:rsid w:val="00560094"/>
    <w:rsid w:val="00563779"/>
    <w:rsid w:val="00566D4B"/>
    <w:rsid w:val="005706CB"/>
    <w:rsid w:val="00570A2E"/>
    <w:rsid w:val="00570B45"/>
    <w:rsid w:val="00572530"/>
    <w:rsid w:val="00573635"/>
    <w:rsid w:val="00574130"/>
    <w:rsid w:val="00574D11"/>
    <w:rsid w:val="00574E81"/>
    <w:rsid w:val="00575F74"/>
    <w:rsid w:val="00580634"/>
    <w:rsid w:val="00580636"/>
    <w:rsid w:val="00582B22"/>
    <w:rsid w:val="00586244"/>
    <w:rsid w:val="005907D1"/>
    <w:rsid w:val="00590D49"/>
    <w:rsid w:val="005919D9"/>
    <w:rsid w:val="00592A85"/>
    <w:rsid w:val="00593160"/>
    <w:rsid w:val="00594AD5"/>
    <w:rsid w:val="005A2CC1"/>
    <w:rsid w:val="005A490A"/>
    <w:rsid w:val="005A4AC4"/>
    <w:rsid w:val="005A750F"/>
    <w:rsid w:val="005A7D0A"/>
    <w:rsid w:val="005B0828"/>
    <w:rsid w:val="005B1545"/>
    <w:rsid w:val="005B3CFB"/>
    <w:rsid w:val="005C0CDC"/>
    <w:rsid w:val="005C4635"/>
    <w:rsid w:val="005C4A58"/>
    <w:rsid w:val="005C5D48"/>
    <w:rsid w:val="005D0C36"/>
    <w:rsid w:val="005D5A61"/>
    <w:rsid w:val="005D6292"/>
    <w:rsid w:val="005D6F84"/>
    <w:rsid w:val="005E1124"/>
    <w:rsid w:val="005E26AB"/>
    <w:rsid w:val="005E2C86"/>
    <w:rsid w:val="005E354F"/>
    <w:rsid w:val="005E74CE"/>
    <w:rsid w:val="00603E4C"/>
    <w:rsid w:val="0060609D"/>
    <w:rsid w:val="006066D5"/>
    <w:rsid w:val="0060782D"/>
    <w:rsid w:val="00610B43"/>
    <w:rsid w:val="00610B84"/>
    <w:rsid w:val="00610DA5"/>
    <w:rsid w:val="00612337"/>
    <w:rsid w:val="00612386"/>
    <w:rsid w:val="00614569"/>
    <w:rsid w:val="00616792"/>
    <w:rsid w:val="00616A27"/>
    <w:rsid w:val="00616FA1"/>
    <w:rsid w:val="00620B1C"/>
    <w:rsid w:val="00620CA0"/>
    <w:rsid w:val="006235B6"/>
    <w:rsid w:val="00625E75"/>
    <w:rsid w:val="00626A45"/>
    <w:rsid w:val="0062765E"/>
    <w:rsid w:val="00630002"/>
    <w:rsid w:val="00630D66"/>
    <w:rsid w:val="00632EA2"/>
    <w:rsid w:val="006376F5"/>
    <w:rsid w:val="00637973"/>
    <w:rsid w:val="00637F41"/>
    <w:rsid w:val="00637FEA"/>
    <w:rsid w:val="00641B17"/>
    <w:rsid w:val="006420CF"/>
    <w:rsid w:val="0064451C"/>
    <w:rsid w:val="00644C5A"/>
    <w:rsid w:val="0064506F"/>
    <w:rsid w:val="0064521E"/>
    <w:rsid w:val="00645588"/>
    <w:rsid w:val="00656182"/>
    <w:rsid w:val="006565C3"/>
    <w:rsid w:val="00657261"/>
    <w:rsid w:val="00661FC0"/>
    <w:rsid w:val="006620C0"/>
    <w:rsid w:val="00663106"/>
    <w:rsid w:val="00664400"/>
    <w:rsid w:val="0066512F"/>
    <w:rsid w:val="0066572D"/>
    <w:rsid w:val="006700AA"/>
    <w:rsid w:val="00670E4D"/>
    <w:rsid w:val="00673C9D"/>
    <w:rsid w:val="006749E9"/>
    <w:rsid w:val="00677A38"/>
    <w:rsid w:val="00692E7A"/>
    <w:rsid w:val="0069380D"/>
    <w:rsid w:val="00697725"/>
    <w:rsid w:val="006A094C"/>
    <w:rsid w:val="006A39A4"/>
    <w:rsid w:val="006A7A28"/>
    <w:rsid w:val="006B0F2A"/>
    <w:rsid w:val="006B1F0D"/>
    <w:rsid w:val="006B3BE2"/>
    <w:rsid w:val="006B5C8D"/>
    <w:rsid w:val="006C0BE8"/>
    <w:rsid w:val="006C1E9E"/>
    <w:rsid w:val="006C55B2"/>
    <w:rsid w:val="006C750C"/>
    <w:rsid w:val="006D10EF"/>
    <w:rsid w:val="006D7665"/>
    <w:rsid w:val="006D76F5"/>
    <w:rsid w:val="006E0FE5"/>
    <w:rsid w:val="006E1556"/>
    <w:rsid w:val="006E1BA4"/>
    <w:rsid w:val="006E51DF"/>
    <w:rsid w:val="006E5332"/>
    <w:rsid w:val="006E59C7"/>
    <w:rsid w:val="006E7B05"/>
    <w:rsid w:val="006F7BBA"/>
    <w:rsid w:val="00701C08"/>
    <w:rsid w:val="0070265F"/>
    <w:rsid w:val="007027B1"/>
    <w:rsid w:val="00703B29"/>
    <w:rsid w:val="00704D42"/>
    <w:rsid w:val="00705AC0"/>
    <w:rsid w:val="007078D9"/>
    <w:rsid w:val="007134C8"/>
    <w:rsid w:val="00713E43"/>
    <w:rsid w:val="007148D2"/>
    <w:rsid w:val="007309AD"/>
    <w:rsid w:val="00734DA0"/>
    <w:rsid w:val="00736379"/>
    <w:rsid w:val="007373C0"/>
    <w:rsid w:val="0074148F"/>
    <w:rsid w:val="0074166F"/>
    <w:rsid w:val="00742A53"/>
    <w:rsid w:val="00747649"/>
    <w:rsid w:val="00752D1B"/>
    <w:rsid w:val="00753F97"/>
    <w:rsid w:val="00754D95"/>
    <w:rsid w:val="00756D53"/>
    <w:rsid w:val="007573F6"/>
    <w:rsid w:val="007576DF"/>
    <w:rsid w:val="00765B53"/>
    <w:rsid w:val="00767163"/>
    <w:rsid w:val="0076721E"/>
    <w:rsid w:val="007725D8"/>
    <w:rsid w:val="00782914"/>
    <w:rsid w:val="007870CC"/>
    <w:rsid w:val="00791A62"/>
    <w:rsid w:val="00792E56"/>
    <w:rsid w:val="00793504"/>
    <w:rsid w:val="00796365"/>
    <w:rsid w:val="007A0E44"/>
    <w:rsid w:val="007A3FBF"/>
    <w:rsid w:val="007A432D"/>
    <w:rsid w:val="007A5AC6"/>
    <w:rsid w:val="007B736D"/>
    <w:rsid w:val="007B77C9"/>
    <w:rsid w:val="007C0666"/>
    <w:rsid w:val="007C27B9"/>
    <w:rsid w:val="007C2A4E"/>
    <w:rsid w:val="007C3FD2"/>
    <w:rsid w:val="007C4417"/>
    <w:rsid w:val="007D3362"/>
    <w:rsid w:val="007D68F0"/>
    <w:rsid w:val="007E0ADC"/>
    <w:rsid w:val="007E4221"/>
    <w:rsid w:val="007E59D5"/>
    <w:rsid w:val="007E6848"/>
    <w:rsid w:val="007F0CD5"/>
    <w:rsid w:val="007F18C1"/>
    <w:rsid w:val="007F27F0"/>
    <w:rsid w:val="007F2B7C"/>
    <w:rsid w:val="007F50CD"/>
    <w:rsid w:val="007F63D3"/>
    <w:rsid w:val="007F6C69"/>
    <w:rsid w:val="008002FF"/>
    <w:rsid w:val="008003B5"/>
    <w:rsid w:val="008006BC"/>
    <w:rsid w:val="00802100"/>
    <w:rsid w:val="00802746"/>
    <w:rsid w:val="0080391D"/>
    <w:rsid w:val="0080476C"/>
    <w:rsid w:val="008054F2"/>
    <w:rsid w:val="00810789"/>
    <w:rsid w:val="00812599"/>
    <w:rsid w:val="0081517D"/>
    <w:rsid w:val="00823431"/>
    <w:rsid w:val="008274B9"/>
    <w:rsid w:val="0083033C"/>
    <w:rsid w:val="00832FDB"/>
    <w:rsid w:val="0083320D"/>
    <w:rsid w:val="008335DC"/>
    <w:rsid w:val="008337F5"/>
    <w:rsid w:val="00834625"/>
    <w:rsid w:val="0083561C"/>
    <w:rsid w:val="00841167"/>
    <w:rsid w:val="0084163E"/>
    <w:rsid w:val="00842771"/>
    <w:rsid w:val="00842840"/>
    <w:rsid w:val="00843F4D"/>
    <w:rsid w:val="008443D4"/>
    <w:rsid w:val="00845AA9"/>
    <w:rsid w:val="00846856"/>
    <w:rsid w:val="0084706C"/>
    <w:rsid w:val="00852CA4"/>
    <w:rsid w:val="00853A0E"/>
    <w:rsid w:val="00854523"/>
    <w:rsid w:val="00856C26"/>
    <w:rsid w:val="00856C78"/>
    <w:rsid w:val="008613DB"/>
    <w:rsid w:val="00864DAD"/>
    <w:rsid w:val="00865437"/>
    <w:rsid w:val="008665D7"/>
    <w:rsid w:val="00867383"/>
    <w:rsid w:val="00867D3A"/>
    <w:rsid w:val="00867EEF"/>
    <w:rsid w:val="0087364D"/>
    <w:rsid w:val="008811C0"/>
    <w:rsid w:val="00882C10"/>
    <w:rsid w:val="0088456F"/>
    <w:rsid w:val="008853AB"/>
    <w:rsid w:val="00886508"/>
    <w:rsid w:val="008905FE"/>
    <w:rsid w:val="00890844"/>
    <w:rsid w:val="00897A02"/>
    <w:rsid w:val="008A2FA7"/>
    <w:rsid w:val="008A6B85"/>
    <w:rsid w:val="008A6DA7"/>
    <w:rsid w:val="008B0730"/>
    <w:rsid w:val="008B3CA5"/>
    <w:rsid w:val="008B5AE0"/>
    <w:rsid w:val="008B6163"/>
    <w:rsid w:val="008C0277"/>
    <w:rsid w:val="008C2E7C"/>
    <w:rsid w:val="008C5408"/>
    <w:rsid w:val="008C751B"/>
    <w:rsid w:val="008D1101"/>
    <w:rsid w:val="008D29BB"/>
    <w:rsid w:val="008D3116"/>
    <w:rsid w:val="008D4D43"/>
    <w:rsid w:val="008D5EEF"/>
    <w:rsid w:val="008D6E30"/>
    <w:rsid w:val="008D7A39"/>
    <w:rsid w:val="008E1FEA"/>
    <w:rsid w:val="008E2AAE"/>
    <w:rsid w:val="008E3EBD"/>
    <w:rsid w:val="008F0362"/>
    <w:rsid w:val="008F0DB4"/>
    <w:rsid w:val="008F1B71"/>
    <w:rsid w:val="008F23FA"/>
    <w:rsid w:val="008F276F"/>
    <w:rsid w:val="008F513A"/>
    <w:rsid w:val="008F72CA"/>
    <w:rsid w:val="009014C3"/>
    <w:rsid w:val="009036B0"/>
    <w:rsid w:val="00906591"/>
    <w:rsid w:val="00906BC4"/>
    <w:rsid w:val="00910BBF"/>
    <w:rsid w:val="00924FC8"/>
    <w:rsid w:val="00926EF6"/>
    <w:rsid w:val="0092713A"/>
    <w:rsid w:val="009278FB"/>
    <w:rsid w:val="00927A1F"/>
    <w:rsid w:val="0093054A"/>
    <w:rsid w:val="009320C6"/>
    <w:rsid w:val="00936279"/>
    <w:rsid w:val="009367E8"/>
    <w:rsid w:val="00936FAE"/>
    <w:rsid w:val="009370C7"/>
    <w:rsid w:val="009372BE"/>
    <w:rsid w:val="00937935"/>
    <w:rsid w:val="009403E6"/>
    <w:rsid w:val="009409B2"/>
    <w:rsid w:val="0094244A"/>
    <w:rsid w:val="00944CF3"/>
    <w:rsid w:val="00945102"/>
    <w:rsid w:val="009452AF"/>
    <w:rsid w:val="00945B4D"/>
    <w:rsid w:val="0095071A"/>
    <w:rsid w:val="00952D77"/>
    <w:rsid w:val="00953419"/>
    <w:rsid w:val="00954E8D"/>
    <w:rsid w:val="00955E5D"/>
    <w:rsid w:val="00961C43"/>
    <w:rsid w:val="00964C9C"/>
    <w:rsid w:val="00966666"/>
    <w:rsid w:val="0096666A"/>
    <w:rsid w:val="00975E37"/>
    <w:rsid w:val="0097719B"/>
    <w:rsid w:val="009802C2"/>
    <w:rsid w:val="009806C5"/>
    <w:rsid w:val="00982264"/>
    <w:rsid w:val="00993F0E"/>
    <w:rsid w:val="00994739"/>
    <w:rsid w:val="009953B0"/>
    <w:rsid w:val="00997998"/>
    <w:rsid w:val="009A0D2B"/>
    <w:rsid w:val="009A1213"/>
    <w:rsid w:val="009B184E"/>
    <w:rsid w:val="009B3A17"/>
    <w:rsid w:val="009B453F"/>
    <w:rsid w:val="009B7637"/>
    <w:rsid w:val="009C464F"/>
    <w:rsid w:val="009D06FA"/>
    <w:rsid w:val="009D20A6"/>
    <w:rsid w:val="009D270E"/>
    <w:rsid w:val="009D4E78"/>
    <w:rsid w:val="009D6C9D"/>
    <w:rsid w:val="009E043E"/>
    <w:rsid w:val="009E113F"/>
    <w:rsid w:val="009E1776"/>
    <w:rsid w:val="009E5CE6"/>
    <w:rsid w:val="009F201F"/>
    <w:rsid w:val="009F260E"/>
    <w:rsid w:val="009F290B"/>
    <w:rsid w:val="009F560D"/>
    <w:rsid w:val="009F66F7"/>
    <w:rsid w:val="009F6C92"/>
    <w:rsid w:val="009F7132"/>
    <w:rsid w:val="00A0331E"/>
    <w:rsid w:val="00A034B1"/>
    <w:rsid w:val="00A060B1"/>
    <w:rsid w:val="00A105E8"/>
    <w:rsid w:val="00A10C21"/>
    <w:rsid w:val="00A11BC7"/>
    <w:rsid w:val="00A17577"/>
    <w:rsid w:val="00A176A7"/>
    <w:rsid w:val="00A20636"/>
    <w:rsid w:val="00A21A72"/>
    <w:rsid w:val="00A21F77"/>
    <w:rsid w:val="00A21FED"/>
    <w:rsid w:val="00A23962"/>
    <w:rsid w:val="00A244A1"/>
    <w:rsid w:val="00A271FB"/>
    <w:rsid w:val="00A30594"/>
    <w:rsid w:val="00A33429"/>
    <w:rsid w:val="00A33DA0"/>
    <w:rsid w:val="00A34048"/>
    <w:rsid w:val="00A359F9"/>
    <w:rsid w:val="00A36195"/>
    <w:rsid w:val="00A36726"/>
    <w:rsid w:val="00A43FD3"/>
    <w:rsid w:val="00A45A3C"/>
    <w:rsid w:val="00A47277"/>
    <w:rsid w:val="00A50D4A"/>
    <w:rsid w:val="00A51E81"/>
    <w:rsid w:val="00A52D2C"/>
    <w:rsid w:val="00A53877"/>
    <w:rsid w:val="00A53A67"/>
    <w:rsid w:val="00A571BA"/>
    <w:rsid w:val="00A6285D"/>
    <w:rsid w:val="00A62A53"/>
    <w:rsid w:val="00A643FC"/>
    <w:rsid w:val="00A653E7"/>
    <w:rsid w:val="00A65EFF"/>
    <w:rsid w:val="00A66EBE"/>
    <w:rsid w:val="00A67AB8"/>
    <w:rsid w:val="00A67B5B"/>
    <w:rsid w:val="00A7040C"/>
    <w:rsid w:val="00A722E0"/>
    <w:rsid w:val="00A726F1"/>
    <w:rsid w:val="00A7616F"/>
    <w:rsid w:val="00A77222"/>
    <w:rsid w:val="00A80A1A"/>
    <w:rsid w:val="00A8568C"/>
    <w:rsid w:val="00A86389"/>
    <w:rsid w:val="00A918EB"/>
    <w:rsid w:val="00A94A59"/>
    <w:rsid w:val="00A969D7"/>
    <w:rsid w:val="00AA1CAB"/>
    <w:rsid w:val="00AA2D6C"/>
    <w:rsid w:val="00AA4742"/>
    <w:rsid w:val="00AA66FF"/>
    <w:rsid w:val="00AA7D87"/>
    <w:rsid w:val="00AB0A65"/>
    <w:rsid w:val="00AB1A15"/>
    <w:rsid w:val="00AB2007"/>
    <w:rsid w:val="00AB3577"/>
    <w:rsid w:val="00AB52DE"/>
    <w:rsid w:val="00AB627D"/>
    <w:rsid w:val="00AB7D3B"/>
    <w:rsid w:val="00AC13DA"/>
    <w:rsid w:val="00AC2C7F"/>
    <w:rsid w:val="00AC31BC"/>
    <w:rsid w:val="00AC5807"/>
    <w:rsid w:val="00AD18FE"/>
    <w:rsid w:val="00AD2CC7"/>
    <w:rsid w:val="00AD386C"/>
    <w:rsid w:val="00AD4FC8"/>
    <w:rsid w:val="00AD5C35"/>
    <w:rsid w:val="00AE38C0"/>
    <w:rsid w:val="00AE65AE"/>
    <w:rsid w:val="00AE7341"/>
    <w:rsid w:val="00AE7891"/>
    <w:rsid w:val="00AE78D3"/>
    <w:rsid w:val="00AF01DB"/>
    <w:rsid w:val="00AF4931"/>
    <w:rsid w:val="00AF5FAE"/>
    <w:rsid w:val="00AF62EA"/>
    <w:rsid w:val="00AF697E"/>
    <w:rsid w:val="00B01DCB"/>
    <w:rsid w:val="00B02C32"/>
    <w:rsid w:val="00B02E18"/>
    <w:rsid w:val="00B059D1"/>
    <w:rsid w:val="00B06D2E"/>
    <w:rsid w:val="00B06D8E"/>
    <w:rsid w:val="00B07E78"/>
    <w:rsid w:val="00B1059F"/>
    <w:rsid w:val="00B10D2F"/>
    <w:rsid w:val="00B12C40"/>
    <w:rsid w:val="00B13BC9"/>
    <w:rsid w:val="00B13E2D"/>
    <w:rsid w:val="00B20923"/>
    <w:rsid w:val="00B20C8B"/>
    <w:rsid w:val="00B229E2"/>
    <w:rsid w:val="00B2557E"/>
    <w:rsid w:val="00B257AF"/>
    <w:rsid w:val="00B25D75"/>
    <w:rsid w:val="00B27E41"/>
    <w:rsid w:val="00B32670"/>
    <w:rsid w:val="00B3288D"/>
    <w:rsid w:val="00B336DA"/>
    <w:rsid w:val="00B3589F"/>
    <w:rsid w:val="00B36FBF"/>
    <w:rsid w:val="00B41109"/>
    <w:rsid w:val="00B43B3C"/>
    <w:rsid w:val="00B43D6C"/>
    <w:rsid w:val="00B465D9"/>
    <w:rsid w:val="00B47F88"/>
    <w:rsid w:val="00B51F22"/>
    <w:rsid w:val="00B56B5B"/>
    <w:rsid w:val="00B616DC"/>
    <w:rsid w:val="00B61E19"/>
    <w:rsid w:val="00B62E65"/>
    <w:rsid w:val="00B63DF6"/>
    <w:rsid w:val="00B64BC4"/>
    <w:rsid w:val="00B7269B"/>
    <w:rsid w:val="00B86725"/>
    <w:rsid w:val="00B8749E"/>
    <w:rsid w:val="00B90982"/>
    <w:rsid w:val="00B93423"/>
    <w:rsid w:val="00B95FFF"/>
    <w:rsid w:val="00BA1B3A"/>
    <w:rsid w:val="00BA1BF2"/>
    <w:rsid w:val="00BA2121"/>
    <w:rsid w:val="00BA4C58"/>
    <w:rsid w:val="00BA5496"/>
    <w:rsid w:val="00BB2363"/>
    <w:rsid w:val="00BB27C0"/>
    <w:rsid w:val="00BB3460"/>
    <w:rsid w:val="00BB54A3"/>
    <w:rsid w:val="00BB59D6"/>
    <w:rsid w:val="00BC2F19"/>
    <w:rsid w:val="00BC2FF5"/>
    <w:rsid w:val="00BC3ED1"/>
    <w:rsid w:val="00BC413D"/>
    <w:rsid w:val="00BC542A"/>
    <w:rsid w:val="00BC7436"/>
    <w:rsid w:val="00BD30D5"/>
    <w:rsid w:val="00BD39AA"/>
    <w:rsid w:val="00BD46EC"/>
    <w:rsid w:val="00BD5686"/>
    <w:rsid w:val="00BE1571"/>
    <w:rsid w:val="00BE2C9D"/>
    <w:rsid w:val="00BE4341"/>
    <w:rsid w:val="00BF1FF4"/>
    <w:rsid w:val="00BF67BA"/>
    <w:rsid w:val="00C016E5"/>
    <w:rsid w:val="00C01D82"/>
    <w:rsid w:val="00C02390"/>
    <w:rsid w:val="00C03720"/>
    <w:rsid w:val="00C03F60"/>
    <w:rsid w:val="00C044AA"/>
    <w:rsid w:val="00C047C7"/>
    <w:rsid w:val="00C06C65"/>
    <w:rsid w:val="00C07978"/>
    <w:rsid w:val="00C10E60"/>
    <w:rsid w:val="00C1112D"/>
    <w:rsid w:val="00C136F1"/>
    <w:rsid w:val="00C13975"/>
    <w:rsid w:val="00C202A0"/>
    <w:rsid w:val="00C20519"/>
    <w:rsid w:val="00C20E69"/>
    <w:rsid w:val="00C22473"/>
    <w:rsid w:val="00C224BF"/>
    <w:rsid w:val="00C2259D"/>
    <w:rsid w:val="00C2268B"/>
    <w:rsid w:val="00C22A01"/>
    <w:rsid w:val="00C30383"/>
    <w:rsid w:val="00C304B7"/>
    <w:rsid w:val="00C3074A"/>
    <w:rsid w:val="00C310DE"/>
    <w:rsid w:val="00C31E78"/>
    <w:rsid w:val="00C3446D"/>
    <w:rsid w:val="00C350A7"/>
    <w:rsid w:val="00C36553"/>
    <w:rsid w:val="00C37048"/>
    <w:rsid w:val="00C417C6"/>
    <w:rsid w:val="00C4268C"/>
    <w:rsid w:val="00C44C4C"/>
    <w:rsid w:val="00C50C91"/>
    <w:rsid w:val="00C50F22"/>
    <w:rsid w:val="00C511AE"/>
    <w:rsid w:val="00C5370B"/>
    <w:rsid w:val="00C53D8B"/>
    <w:rsid w:val="00C5412D"/>
    <w:rsid w:val="00C55852"/>
    <w:rsid w:val="00C55FC3"/>
    <w:rsid w:val="00C57DDA"/>
    <w:rsid w:val="00C616F7"/>
    <w:rsid w:val="00C64D91"/>
    <w:rsid w:val="00C65674"/>
    <w:rsid w:val="00C6622A"/>
    <w:rsid w:val="00C67A8C"/>
    <w:rsid w:val="00C72009"/>
    <w:rsid w:val="00C7428C"/>
    <w:rsid w:val="00C74B7A"/>
    <w:rsid w:val="00C74D75"/>
    <w:rsid w:val="00C76BA5"/>
    <w:rsid w:val="00C90801"/>
    <w:rsid w:val="00C90D28"/>
    <w:rsid w:val="00C90E7B"/>
    <w:rsid w:val="00C919C2"/>
    <w:rsid w:val="00C9214F"/>
    <w:rsid w:val="00CA0360"/>
    <w:rsid w:val="00CA338A"/>
    <w:rsid w:val="00CA7546"/>
    <w:rsid w:val="00CB1787"/>
    <w:rsid w:val="00CB40CB"/>
    <w:rsid w:val="00CB48C1"/>
    <w:rsid w:val="00CB4D26"/>
    <w:rsid w:val="00CB52EF"/>
    <w:rsid w:val="00CB533A"/>
    <w:rsid w:val="00CB7C66"/>
    <w:rsid w:val="00CC2AFC"/>
    <w:rsid w:val="00CC4ECE"/>
    <w:rsid w:val="00CD24D8"/>
    <w:rsid w:val="00CD2CF8"/>
    <w:rsid w:val="00CD4F02"/>
    <w:rsid w:val="00CD7153"/>
    <w:rsid w:val="00CD73E7"/>
    <w:rsid w:val="00CD7F84"/>
    <w:rsid w:val="00CE304E"/>
    <w:rsid w:val="00CE36E9"/>
    <w:rsid w:val="00CE3F62"/>
    <w:rsid w:val="00CE4809"/>
    <w:rsid w:val="00CE7257"/>
    <w:rsid w:val="00CF083D"/>
    <w:rsid w:val="00CF0ED1"/>
    <w:rsid w:val="00CF6786"/>
    <w:rsid w:val="00D01ED1"/>
    <w:rsid w:val="00D02FE9"/>
    <w:rsid w:val="00D037D2"/>
    <w:rsid w:val="00D0623F"/>
    <w:rsid w:val="00D14CD0"/>
    <w:rsid w:val="00D16915"/>
    <w:rsid w:val="00D234C9"/>
    <w:rsid w:val="00D26DE7"/>
    <w:rsid w:val="00D32696"/>
    <w:rsid w:val="00D335C0"/>
    <w:rsid w:val="00D372E3"/>
    <w:rsid w:val="00D42878"/>
    <w:rsid w:val="00D42B11"/>
    <w:rsid w:val="00D44E06"/>
    <w:rsid w:val="00D5325D"/>
    <w:rsid w:val="00D53A03"/>
    <w:rsid w:val="00D54175"/>
    <w:rsid w:val="00D552E8"/>
    <w:rsid w:val="00D61627"/>
    <w:rsid w:val="00D61F99"/>
    <w:rsid w:val="00D631A8"/>
    <w:rsid w:val="00D6326F"/>
    <w:rsid w:val="00D634B7"/>
    <w:rsid w:val="00D66473"/>
    <w:rsid w:val="00D66FA8"/>
    <w:rsid w:val="00D67483"/>
    <w:rsid w:val="00D722AF"/>
    <w:rsid w:val="00D73AA0"/>
    <w:rsid w:val="00D74A1C"/>
    <w:rsid w:val="00D77DC2"/>
    <w:rsid w:val="00D800BC"/>
    <w:rsid w:val="00D808E7"/>
    <w:rsid w:val="00D83CFA"/>
    <w:rsid w:val="00D8620E"/>
    <w:rsid w:val="00D869AC"/>
    <w:rsid w:val="00D90799"/>
    <w:rsid w:val="00D966D8"/>
    <w:rsid w:val="00D97BC1"/>
    <w:rsid w:val="00DA2DF0"/>
    <w:rsid w:val="00DA4C3F"/>
    <w:rsid w:val="00DA5FF5"/>
    <w:rsid w:val="00DA603B"/>
    <w:rsid w:val="00DB261F"/>
    <w:rsid w:val="00DB61AA"/>
    <w:rsid w:val="00DB6450"/>
    <w:rsid w:val="00DB7D93"/>
    <w:rsid w:val="00DC004A"/>
    <w:rsid w:val="00DC0578"/>
    <w:rsid w:val="00DC481F"/>
    <w:rsid w:val="00DC5D46"/>
    <w:rsid w:val="00DC7216"/>
    <w:rsid w:val="00DC74AF"/>
    <w:rsid w:val="00DD2694"/>
    <w:rsid w:val="00DD5310"/>
    <w:rsid w:val="00DE32D0"/>
    <w:rsid w:val="00DE340A"/>
    <w:rsid w:val="00DF1EE5"/>
    <w:rsid w:val="00DF41C3"/>
    <w:rsid w:val="00DF476C"/>
    <w:rsid w:val="00DF4994"/>
    <w:rsid w:val="00DF57CD"/>
    <w:rsid w:val="00DF6035"/>
    <w:rsid w:val="00E032F3"/>
    <w:rsid w:val="00E04C83"/>
    <w:rsid w:val="00E04FFF"/>
    <w:rsid w:val="00E076EE"/>
    <w:rsid w:val="00E145E9"/>
    <w:rsid w:val="00E158F2"/>
    <w:rsid w:val="00E17CD5"/>
    <w:rsid w:val="00E21D0F"/>
    <w:rsid w:val="00E22E8A"/>
    <w:rsid w:val="00E24BB8"/>
    <w:rsid w:val="00E2535D"/>
    <w:rsid w:val="00E2772F"/>
    <w:rsid w:val="00E35F81"/>
    <w:rsid w:val="00E37E6C"/>
    <w:rsid w:val="00E41950"/>
    <w:rsid w:val="00E41AE4"/>
    <w:rsid w:val="00E41D87"/>
    <w:rsid w:val="00E43141"/>
    <w:rsid w:val="00E51696"/>
    <w:rsid w:val="00E52DC4"/>
    <w:rsid w:val="00E52DD3"/>
    <w:rsid w:val="00E533A4"/>
    <w:rsid w:val="00E55BCF"/>
    <w:rsid w:val="00E56406"/>
    <w:rsid w:val="00E606F0"/>
    <w:rsid w:val="00E63838"/>
    <w:rsid w:val="00E6437C"/>
    <w:rsid w:val="00E6465A"/>
    <w:rsid w:val="00E65E32"/>
    <w:rsid w:val="00E65F30"/>
    <w:rsid w:val="00E6708D"/>
    <w:rsid w:val="00E67263"/>
    <w:rsid w:val="00E70270"/>
    <w:rsid w:val="00E7143B"/>
    <w:rsid w:val="00E71653"/>
    <w:rsid w:val="00E74A23"/>
    <w:rsid w:val="00E801BF"/>
    <w:rsid w:val="00E8136C"/>
    <w:rsid w:val="00E81543"/>
    <w:rsid w:val="00E8175A"/>
    <w:rsid w:val="00E87227"/>
    <w:rsid w:val="00E901B2"/>
    <w:rsid w:val="00E911AE"/>
    <w:rsid w:val="00E91CC6"/>
    <w:rsid w:val="00E934F3"/>
    <w:rsid w:val="00E93B06"/>
    <w:rsid w:val="00E94888"/>
    <w:rsid w:val="00E97D95"/>
    <w:rsid w:val="00EA0EC9"/>
    <w:rsid w:val="00EA3304"/>
    <w:rsid w:val="00EA3E4F"/>
    <w:rsid w:val="00EA69B3"/>
    <w:rsid w:val="00EA7674"/>
    <w:rsid w:val="00EB07AC"/>
    <w:rsid w:val="00EB12AB"/>
    <w:rsid w:val="00EB3741"/>
    <w:rsid w:val="00EB385F"/>
    <w:rsid w:val="00EB6186"/>
    <w:rsid w:val="00EB7289"/>
    <w:rsid w:val="00EB7A91"/>
    <w:rsid w:val="00EC357A"/>
    <w:rsid w:val="00EC3FEB"/>
    <w:rsid w:val="00EC62E6"/>
    <w:rsid w:val="00EC6BE7"/>
    <w:rsid w:val="00EC72F0"/>
    <w:rsid w:val="00ED0104"/>
    <w:rsid w:val="00ED102B"/>
    <w:rsid w:val="00ED2D31"/>
    <w:rsid w:val="00ED5214"/>
    <w:rsid w:val="00ED6EA9"/>
    <w:rsid w:val="00ED7F8C"/>
    <w:rsid w:val="00EE09EE"/>
    <w:rsid w:val="00EE24A0"/>
    <w:rsid w:val="00EE5EC3"/>
    <w:rsid w:val="00EF3088"/>
    <w:rsid w:val="00EF6F3B"/>
    <w:rsid w:val="00F02291"/>
    <w:rsid w:val="00F0405E"/>
    <w:rsid w:val="00F05724"/>
    <w:rsid w:val="00F12131"/>
    <w:rsid w:val="00F121A9"/>
    <w:rsid w:val="00F12844"/>
    <w:rsid w:val="00F13012"/>
    <w:rsid w:val="00F1380A"/>
    <w:rsid w:val="00F1580E"/>
    <w:rsid w:val="00F22EE3"/>
    <w:rsid w:val="00F2447A"/>
    <w:rsid w:val="00F24CF0"/>
    <w:rsid w:val="00F258F6"/>
    <w:rsid w:val="00F26438"/>
    <w:rsid w:val="00F26AE6"/>
    <w:rsid w:val="00F31415"/>
    <w:rsid w:val="00F341E0"/>
    <w:rsid w:val="00F34ABC"/>
    <w:rsid w:val="00F37F1A"/>
    <w:rsid w:val="00F47303"/>
    <w:rsid w:val="00F478CE"/>
    <w:rsid w:val="00F50AAF"/>
    <w:rsid w:val="00F50DFD"/>
    <w:rsid w:val="00F527A9"/>
    <w:rsid w:val="00F52F18"/>
    <w:rsid w:val="00F54E22"/>
    <w:rsid w:val="00F56DFA"/>
    <w:rsid w:val="00F60964"/>
    <w:rsid w:val="00F60D42"/>
    <w:rsid w:val="00F655ED"/>
    <w:rsid w:val="00F67CE5"/>
    <w:rsid w:val="00F67D3E"/>
    <w:rsid w:val="00F71120"/>
    <w:rsid w:val="00F7459C"/>
    <w:rsid w:val="00F75057"/>
    <w:rsid w:val="00F8029F"/>
    <w:rsid w:val="00F810CB"/>
    <w:rsid w:val="00F8156C"/>
    <w:rsid w:val="00F8275A"/>
    <w:rsid w:val="00F84208"/>
    <w:rsid w:val="00F8505A"/>
    <w:rsid w:val="00F851AD"/>
    <w:rsid w:val="00F85D28"/>
    <w:rsid w:val="00F86BE4"/>
    <w:rsid w:val="00F86CC5"/>
    <w:rsid w:val="00F90AD1"/>
    <w:rsid w:val="00F90B82"/>
    <w:rsid w:val="00F912E5"/>
    <w:rsid w:val="00F942A3"/>
    <w:rsid w:val="00F95DC4"/>
    <w:rsid w:val="00F963F5"/>
    <w:rsid w:val="00F971E4"/>
    <w:rsid w:val="00FA3B7C"/>
    <w:rsid w:val="00FA56F1"/>
    <w:rsid w:val="00FA5F7E"/>
    <w:rsid w:val="00FA615E"/>
    <w:rsid w:val="00FA66FC"/>
    <w:rsid w:val="00FA6E0C"/>
    <w:rsid w:val="00FB0408"/>
    <w:rsid w:val="00FB5712"/>
    <w:rsid w:val="00FB5774"/>
    <w:rsid w:val="00FC05F5"/>
    <w:rsid w:val="00FC092D"/>
    <w:rsid w:val="00FC1920"/>
    <w:rsid w:val="00FC5D2A"/>
    <w:rsid w:val="00FC6C36"/>
    <w:rsid w:val="00FD1CCB"/>
    <w:rsid w:val="00FD35A5"/>
    <w:rsid w:val="00FD532B"/>
    <w:rsid w:val="00FD5C6C"/>
    <w:rsid w:val="00FD6CDE"/>
    <w:rsid w:val="00FD7BFF"/>
    <w:rsid w:val="00FE4CF6"/>
    <w:rsid w:val="00FE6640"/>
    <w:rsid w:val="00FF6F39"/>
    <w:rsid w:val="00FF77DD"/>
    <w:rsid w:val="01470670"/>
    <w:rsid w:val="016444A1"/>
    <w:rsid w:val="02474DD2"/>
    <w:rsid w:val="02C66843"/>
    <w:rsid w:val="03083FB1"/>
    <w:rsid w:val="047C1CA3"/>
    <w:rsid w:val="050053B4"/>
    <w:rsid w:val="051D21CA"/>
    <w:rsid w:val="068E7807"/>
    <w:rsid w:val="07332C28"/>
    <w:rsid w:val="07732078"/>
    <w:rsid w:val="07BD700A"/>
    <w:rsid w:val="07F74831"/>
    <w:rsid w:val="08097EA5"/>
    <w:rsid w:val="085F1FA8"/>
    <w:rsid w:val="09C1119F"/>
    <w:rsid w:val="09D6054A"/>
    <w:rsid w:val="0A50093D"/>
    <w:rsid w:val="0A681459"/>
    <w:rsid w:val="0B13587E"/>
    <w:rsid w:val="0B262C87"/>
    <w:rsid w:val="0B40301D"/>
    <w:rsid w:val="0B7F78D9"/>
    <w:rsid w:val="0C0E59AF"/>
    <w:rsid w:val="0D0F6BC5"/>
    <w:rsid w:val="0DE81577"/>
    <w:rsid w:val="0E631FB5"/>
    <w:rsid w:val="0EC816FE"/>
    <w:rsid w:val="0F6360E0"/>
    <w:rsid w:val="0F6749B6"/>
    <w:rsid w:val="0FB6511C"/>
    <w:rsid w:val="0FCC697E"/>
    <w:rsid w:val="0FDB3CB0"/>
    <w:rsid w:val="10766455"/>
    <w:rsid w:val="1086588A"/>
    <w:rsid w:val="10D9466A"/>
    <w:rsid w:val="11091790"/>
    <w:rsid w:val="127174C7"/>
    <w:rsid w:val="12DE5B33"/>
    <w:rsid w:val="13246F76"/>
    <w:rsid w:val="13B04A61"/>
    <w:rsid w:val="14920BB5"/>
    <w:rsid w:val="14C3462F"/>
    <w:rsid w:val="15060593"/>
    <w:rsid w:val="15174F34"/>
    <w:rsid w:val="15361291"/>
    <w:rsid w:val="158B70E1"/>
    <w:rsid w:val="163867DD"/>
    <w:rsid w:val="164B34DE"/>
    <w:rsid w:val="165A6281"/>
    <w:rsid w:val="166949FA"/>
    <w:rsid w:val="17073DA6"/>
    <w:rsid w:val="179E6EE7"/>
    <w:rsid w:val="17D41E98"/>
    <w:rsid w:val="17E17E14"/>
    <w:rsid w:val="1874374C"/>
    <w:rsid w:val="18AC0E17"/>
    <w:rsid w:val="18C32DC6"/>
    <w:rsid w:val="18D6334C"/>
    <w:rsid w:val="19087A96"/>
    <w:rsid w:val="192E1463"/>
    <w:rsid w:val="19765E04"/>
    <w:rsid w:val="199A5EFB"/>
    <w:rsid w:val="19DB6093"/>
    <w:rsid w:val="19ED137B"/>
    <w:rsid w:val="1A0F6F5C"/>
    <w:rsid w:val="1A9D39DB"/>
    <w:rsid w:val="1ACB06AA"/>
    <w:rsid w:val="1B0B499B"/>
    <w:rsid w:val="1BF57E48"/>
    <w:rsid w:val="1C1B13CA"/>
    <w:rsid w:val="1D0556CB"/>
    <w:rsid w:val="1D99793D"/>
    <w:rsid w:val="1E322A0B"/>
    <w:rsid w:val="1EC82766"/>
    <w:rsid w:val="1F7E3552"/>
    <w:rsid w:val="1FE52A13"/>
    <w:rsid w:val="20AF59EE"/>
    <w:rsid w:val="2100694C"/>
    <w:rsid w:val="21B81F14"/>
    <w:rsid w:val="21DC6CCC"/>
    <w:rsid w:val="225D2731"/>
    <w:rsid w:val="22A733BA"/>
    <w:rsid w:val="22F824E8"/>
    <w:rsid w:val="231625C0"/>
    <w:rsid w:val="232B6F13"/>
    <w:rsid w:val="237677FB"/>
    <w:rsid w:val="238F76BC"/>
    <w:rsid w:val="23A44E43"/>
    <w:rsid w:val="240916D5"/>
    <w:rsid w:val="243D5300"/>
    <w:rsid w:val="245147A7"/>
    <w:rsid w:val="245F1EAB"/>
    <w:rsid w:val="248959C2"/>
    <w:rsid w:val="24D24E76"/>
    <w:rsid w:val="265E7BA5"/>
    <w:rsid w:val="268154EE"/>
    <w:rsid w:val="2786477B"/>
    <w:rsid w:val="29382EDF"/>
    <w:rsid w:val="2A5F0A04"/>
    <w:rsid w:val="2AE83B98"/>
    <w:rsid w:val="2B7A29DB"/>
    <w:rsid w:val="2BC02EFA"/>
    <w:rsid w:val="2C076158"/>
    <w:rsid w:val="2D6D04E7"/>
    <w:rsid w:val="2DE52E97"/>
    <w:rsid w:val="2EC35501"/>
    <w:rsid w:val="2EFB7E9D"/>
    <w:rsid w:val="2F14143E"/>
    <w:rsid w:val="2F30585B"/>
    <w:rsid w:val="2F4E15AA"/>
    <w:rsid w:val="2F6068CA"/>
    <w:rsid w:val="300609E4"/>
    <w:rsid w:val="30350BD9"/>
    <w:rsid w:val="3076675D"/>
    <w:rsid w:val="30B83612"/>
    <w:rsid w:val="3118318E"/>
    <w:rsid w:val="318B1ECB"/>
    <w:rsid w:val="33062003"/>
    <w:rsid w:val="34002A1B"/>
    <w:rsid w:val="342A64A8"/>
    <w:rsid w:val="34737E21"/>
    <w:rsid w:val="349E50A3"/>
    <w:rsid w:val="34E624F6"/>
    <w:rsid w:val="34FC0DC9"/>
    <w:rsid w:val="356D42DC"/>
    <w:rsid w:val="358A776C"/>
    <w:rsid w:val="35F15E5F"/>
    <w:rsid w:val="37032615"/>
    <w:rsid w:val="37695B23"/>
    <w:rsid w:val="380302D1"/>
    <w:rsid w:val="38503A74"/>
    <w:rsid w:val="3A160950"/>
    <w:rsid w:val="3AF7190D"/>
    <w:rsid w:val="3B013B51"/>
    <w:rsid w:val="3B286981"/>
    <w:rsid w:val="3B6942DE"/>
    <w:rsid w:val="3B7B53C5"/>
    <w:rsid w:val="3D684808"/>
    <w:rsid w:val="3DB244AE"/>
    <w:rsid w:val="3E44374E"/>
    <w:rsid w:val="3E654587"/>
    <w:rsid w:val="3E7C247F"/>
    <w:rsid w:val="3F906FA4"/>
    <w:rsid w:val="3FE25E61"/>
    <w:rsid w:val="40163E55"/>
    <w:rsid w:val="40433614"/>
    <w:rsid w:val="40B958D2"/>
    <w:rsid w:val="40DC2E1F"/>
    <w:rsid w:val="4181142C"/>
    <w:rsid w:val="418E323E"/>
    <w:rsid w:val="419F7DE9"/>
    <w:rsid w:val="42593AB4"/>
    <w:rsid w:val="42ED31B8"/>
    <w:rsid w:val="431B54BB"/>
    <w:rsid w:val="433A2609"/>
    <w:rsid w:val="44056110"/>
    <w:rsid w:val="44FF7718"/>
    <w:rsid w:val="4556704B"/>
    <w:rsid w:val="45E52B5E"/>
    <w:rsid w:val="460C6A83"/>
    <w:rsid w:val="46796CD5"/>
    <w:rsid w:val="46BB321F"/>
    <w:rsid w:val="470149B3"/>
    <w:rsid w:val="47CA64B6"/>
    <w:rsid w:val="480001B4"/>
    <w:rsid w:val="48000C69"/>
    <w:rsid w:val="48B81836"/>
    <w:rsid w:val="49694CAB"/>
    <w:rsid w:val="4A2F458B"/>
    <w:rsid w:val="4AD32DB9"/>
    <w:rsid w:val="4AF93AF8"/>
    <w:rsid w:val="4B212AA0"/>
    <w:rsid w:val="4B2A06C8"/>
    <w:rsid w:val="4C302313"/>
    <w:rsid w:val="4C343F17"/>
    <w:rsid w:val="4C377C50"/>
    <w:rsid w:val="4DDF38FE"/>
    <w:rsid w:val="4DEA6856"/>
    <w:rsid w:val="4EF43796"/>
    <w:rsid w:val="4F6B4E33"/>
    <w:rsid w:val="4F81095F"/>
    <w:rsid w:val="508A06D2"/>
    <w:rsid w:val="50AF5E7F"/>
    <w:rsid w:val="50FF3B8A"/>
    <w:rsid w:val="51571ACF"/>
    <w:rsid w:val="51ED27C1"/>
    <w:rsid w:val="522E0E55"/>
    <w:rsid w:val="528938A5"/>
    <w:rsid w:val="52DC55D8"/>
    <w:rsid w:val="532D180E"/>
    <w:rsid w:val="53A958DA"/>
    <w:rsid w:val="5440498E"/>
    <w:rsid w:val="54CD79D0"/>
    <w:rsid w:val="54DF753D"/>
    <w:rsid w:val="55A21409"/>
    <w:rsid w:val="56021EAB"/>
    <w:rsid w:val="56503F5E"/>
    <w:rsid w:val="56BC4F7B"/>
    <w:rsid w:val="57156BB0"/>
    <w:rsid w:val="575646D0"/>
    <w:rsid w:val="581F4117"/>
    <w:rsid w:val="58C25323"/>
    <w:rsid w:val="58D70F80"/>
    <w:rsid w:val="593B56E3"/>
    <w:rsid w:val="596374F3"/>
    <w:rsid w:val="5A2F0E20"/>
    <w:rsid w:val="5AC52C23"/>
    <w:rsid w:val="5AFB47D5"/>
    <w:rsid w:val="5B1A11A5"/>
    <w:rsid w:val="5B7D2BA3"/>
    <w:rsid w:val="5BC27D53"/>
    <w:rsid w:val="5BC43DB3"/>
    <w:rsid w:val="5C4D0B92"/>
    <w:rsid w:val="5C9E51FC"/>
    <w:rsid w:val="5E654B18"/>
    <w:rsid w:val="5E8451CA"/>
    <w:rsid w:val="5E9701C1"/>
    <w:rsid w:val="5EAE6DE8"/>
    <w:rsid w:val="5F540201"/>
    <w:rsid w:val="5FFB2542"/>
    <w:rsid w:val="604F0905"/>
    <w:rsid w:val="61807A14"/>
    <w:rsid w:val="63781AB8"/>
    <w:rsid w:val="63D54C2D"/>
    <w:rsid w:val="643013F2"/>
    <w:rsid w:val="64477A3A"/>
    <w:rsid w:val="64731C61"/>
    <w:rsid w:val="649874DE"/>
    <w:rsid w:val="649E72D3"/>
    <w:rsid w:val="64E803C0"/>
    <w:rsid w:val="64E90318"/>
    <w:rsid w:val="64FB31B0"/>
    <w:rsid w:val="658E69DD"/>
    <w:rsid w:val="65B1012C"/>
    <w:rsid w:val="65FB0D83"/>
    <w:rsid w:val="664E7329"/>
    <w:rsid w:val="667325B3"/>
    <w:rsid w:val="677F33BB"/>
    <w:rsid w:val="689F139D"/>
    <w:rsid w:val="68B51805"/>
    <w:rsid w:val="69ED750E"/>
    <w:rsid w:val="6A4A4C93"/>
    <w:rsid w:val="6C4E14A7"/>
    <w:rsid w:val="6C6C62AF"/>
    <w:rsid w:val="6D0B3A53"/>
    <w:rsid w:val="6DC25E42"/>
    <w:rsid w:val="6E031E53"/>
    <w:rsid w:val="6E426514"/>
    <w:rsid w:val="6EB4166F"/>
    <w:rsid w:val="6F110A4B"/>
    <w:rsid w:val="70EA67DC"/>
    <w:rsid w:val="716D4CA3"/>
    <w:rsid w:val="716F6D7F"/>
    <w:rsid w:val="719B7FCC"/>
    <w:rsid w:val="71FA572B"/>
    <w:rsid w:val="72201D1C"/>
    <w:rsid w:val="725133C6"/>
    <w:rsid w:val="72FC5FA7"/>
    <w:rsid w:val="73213101"/>
    <w:rsid w:val="73654420"/>
    <w:rsid w:val="74547931"/>
    <w:rsid w:val="745B4746"/>
    <w:rsid w:val="74F175C2"/>
    <w:rsid w:val="75661AB9"/>
    <w:rsid w:val="75D37B7F"/>
    <w:rsid w:val="761D0822"/>
    <w:rsid w:val="76341C6C"/>
    <w:rsid w:val="76575E31"/>
    <w:rsid w:val="767E5F1C"/>
    <w:rsid w:val="76B41A10"/>
    <w:rsid w:val="77BB5C86"/>
    <w:rsid w:val="77CA3C41"/>
    <w:rsid w:val="781703A1"/>
    <w:rsid w:val="78262F99"/>
    <w:rsid w:val="783821EE"/>
    <w:rsid w:val="78A33FDD"/>
    <w:rsid w:val="79583860"/>
    <w:rsid w:val="7968003A"/>
    <w:rsid w:val="798C57CF"/>
    <w:rsid w:val="7A0B4EE6"/>
    <w:rsid w:val="7A735362"/>
    <w:rsid w:val="7A8F6B5A"/>
    <w:rsid w:val="7AC97A98"/>
    <w:rsid w:val="7AD63F20"/>
    <w:rsid w:val="7F2C1A15"/>
    <w:rsid w:val="7F41310A"/>
    <w:rsid w:val="7FC22051"/>
    <w:rsid w:val="7FE47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adjustRightInd w:val="0"/>
      <w:textAlignment w:val="baseline"/>
      <w:outlineLvl w:val="0"/>
    </w:pPr>
    <w:rPr>
      <w:rFonts w:ascii="仿宋_GB2312" w:eastAsia="仿宋_GB2312"/>
      <w:bCs/>
      <w:color w:val="FF0000"/>
      <w:kern w:val="0"/>
      <w:sz w:val="28"/>
    </w:rPr>
  </w:style>
  <w:style w:type="paragraph" w:styleId="2">
    <w:name w:val="heading 2"/>
    <w:basedOn w:val="1"/>
    <w:next w:val="1"/>
    <w:unhideWhenUsed/>
    <w:qFormat/>
    <w:uiPriority w:val="9"/>
    <w:pPr>
      <w:keepNext/>
      <w:keepLines/>
      <w:outlineLvl w:val="1"/>
    </w:pPr>
    <w:rPr>
      <w:rFonts w:asciiTheme="majorHAnsi" w:hAnsiTheme="majorHAnsi" w:cstheme="majorBidi"/>
      <w:b/>
      <w:bCs/>
      <w:szCs w:val="32"/>
    </w:rPr>
  </w:style>
  <w:style w:type="paragraph" w:styleId="4">
    <w:name w:val="heading 3"/>
    <w:basedOn w:val="1"/>
    <w:next w:val="1"/>
    <w:qFormat/>
    <w:uiPriority w:val="0"/>
    <w:pPr>
      <w:keepNext/>
      <w:keepLines/>
      <w:numPr>
        <w:ilvl w:val="2"/>
        <w:numId w:val="1"/>
      </w:numPr>
      <w:tabs>
        <w:tab w:val="left" w:pos="432"/>
        <w:tab w:val="clear" w:pos="2420"/>
      </w:tabs>
      <w:spacing w:beforeLines="50" w:afterLines="50" w:line="360" w:lineRule="auto"/>
      <w:outlineLvl w:val="2"/>
    </w:pPr>
    <w:rPr>
      <w:rFonts w:ascii="Arial" w:hAnsi="Arial" w:eastAsia="黑体"/>
      <w:b/>
      <w:bCs/>
      <w:sz w:val="28"/>
      <w:szCs w:val="32"/>
    </w:rPr>
  </w:style>
  <w:style w:type="paragraph" w:styleId="5">
    <w:name w:val="heading 4"/>
    <w:basedOn w:val="1"/>
    <w:next w:val="1"/>
    <w:qFormat/>
    <w:uiPriority w:val="0"/>
    <w:pPr>
      <w:keepNext/>
      <w:keepLines/>
      <w:spacing w:before="280" w:after="290" w:line="376" w:lineRule="auto"/>
      <w:outlineLvl w:val="3"/>
    </w:pPr>
    <w:rPr>
      <w:rFonts w:ascii="Cambria" w:hAnsi="Cambria" w:cs="宋体"/>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ind w:left="1260" w:hanging="420"/>
    </w:pPr>
    <w:rPr>
      <w:rFonts w:ascii="宋体"/>
      <w:color w:val="000000"/>
      <w:sz w:val="24"/>
      <w:szCs w:val="24"/>
    </w:rPr>
  </w:style>
  <w:style w:type="paragraph" w:styleId="7">
    <w:name w:val="Normal Indent"/>
    <w:basedOn w:val="1"/>
    <w:next w:val="1"/>
    <w:unhideWhenUsed/>
    <w:qFormat/>
    <w:uiPriority w:val="99"/>
    <w:pPr>
      <w:adjustRightInd w:val="0"/>
      <w:spacing w:line="300" w:lineRule="auto"/>
      <w:ind w:firstLine="510"/>
      <w:jc w:val="center"/>
      <w:textAlignment w:val="baseline"/>
    </w:pPr>
    <w:rPr>
      <w:rFonts w:ascii="宋体" w:hAnsi="宋体" w:cs="宋体"/>
      <w:kern w:val="0"/>
      <w:sz w:val="24"/>
      <w:szCs w:val="24"/>
    </w:rPr>
  </w:style>
  <w:style w:type="paragraph" w:styleId="8">
    <w:name w:val="Document Map"/>
    <w:basedOn w:val="1"/>
    <w:semiHidden/>
    <w:qFormat/>
    <w:uiPriority w:val="0"/>
    <w:pPr>
      <w:shd w:val="clear" w:color="auto" w:fill="000080"/>
    </w:pPr>
  </w:style>
  <w:style w:type="paragraph" w:styleId="9">
    <w:name w:val="toa heading"/>
    <w:basedOn w:val="1"/>
    <w:next w:val="1"/>
    <w:qFormat/>
    <w:uiPriority w:val="0"/>
    <w:pPr>
      <w:spacing w:before="120"/>
    </w:pPr>
    <w:rPr>
      <w:rFonts w:ascii="Arial" w:hAnsi="Arial" w:cs="Arial"/>
      <w:sz w:val="24"/>
    </w:rPr>
  </w:style>
  <w:style w:type="paragraph" w:styleId="10">
    <w:name w:val="annotation text"/>
    <w:basedOn w:val="1"/>
    <w:semiHidden/>
    <w:qFormat/>
    <w:uiPriority w:val="0"/>
    <w:pPr>
      <w:jc w:val="left"/>
    </w:pPr>
  </w:style>
  <w:style w:type="paragraph" w:styleId="11">
    <w:name w:val="Body Text"/>
    <w:basedOn w:val="1"/>
    <w:next w:val="12"/>
    <w:qFormat/>
    <w:uiPriority w:val="0"/>
    <w:pPr>
      <w:spacing w:line="360" w:lineRule="auto"/>
    </w:pPr>
    <w:rPr>
      <w:rFonts w:ascii="仿宋_GB2312" w:eastAsia="仿宋_GB2312"/>
      <w:bCs/>
      <w:color w:val="000000"/>
      <w:sz w:val="28"/>
    </w:rPr>
  </w:style>
  <w:style w:type="paragraph" w:styleId="12">
    <w:name w:val="Body Text First Indent"/>
    <w:basedOn w:val="11"/>
    <w:qFormat/>
    <w:uiPriority w:val="0"/>
    <w:pPr>
      <w:ind w:firstLine="420" w:firstLineChars="100"/>
    </w:pPr>
  </w:style>
  <w:style w:type="paragraph" w:styleId="13">
    <w:name w:val="Body Text Indent"/>
    <w:basedOn w:val="1"/>
    <w:next w:val="14"/>
    <w:qFormat/>
    <w:uiPriority w:val="0"/>
    <w:pPr>
      <w:ind w:left="-105" w:firstLine="465"/>
    </w:pPr>
    <w:rPr>
      <w:rFonts w:ascii="仿宋_GB2312" w:eastAsia="仿宋_GB2312"/>
      <w:sz w:val="24"/>
    </w:rPr>
  </w:style>
  <w:style w:type="paragraph" w:styleId="14">
    <w:name w:val="header"/>
    <w:basedOn w:val="1"/>
    <w:next w:val="15"/>
    <w:qFormat/>
    <w:uiPriority w:val="0"/>
    <w:pPr>
      <w:pBdr>
        <w:bottom w:val="single" w:color="auto" w:sz="6" w:space="1"/>
      </w:pBdr>
      <w:tabs>
        <w:tab w:val="center" w:pos="4153"/>
        <w:tab w:val="right" w:pos="8306"/>
      </w:tabs>
      <w:snapToGrid w:val="0"/>
      <w:jc w:val="center"/>
    </w:pPr>
    <w:rPr>
      <w:sz w:val="18"/>
      <w:szCs w:val="18"/>
    </w:rPr>
  </w:style>
  <w:style w:type="paragraph" w:styleId="15">
    <w:name w:val="Date"/>
    <w:basedOn w:val="1"/>
    <w:next w:val="1"/>
    <w:link w:val="31"/>
    <w:qFormat/>
    <w:uiPriority w:val="0"/>
    <w:pPr>
      <w:ind w:left="100" w:leftChars="2500"/>
    </w:pPr>
  </w:style>
  <w:style w:type="paragraph" w:styleId="16">
    <w:name w:val="Plain Text"/>
    <w:basedOn w:val="1"/>
    <w:qFormat/>
    <w:uiPriority w:val="0"/>
    <w:rPr>
      <w:rFonts w:hAnsi="Courier New"/>
      <w:sz w:val="32"/>
    </w:rPr>
  </w:style>
  <w:style w:type="paragraph" w:styleId="17">
    <w:name w:val="Body Text Indent 2"/>
    <w:basedOn w:val="1"/>
    <w:qFormat/>
    <w:uiPriority w:val="0"/>
    <w:pPr>
      <w:spacing w:line="400" w:lineRule="exact"/>
      <w:ind w:left="-210" w:firstLine="570"/>
    </w:pPr>
    <w:rPr>
      <w:rFonts w:ascii="仿宋_GB2312" w:eastAsia="仿宋_GB2312"/>
      <w:sz w:val="28"/>
    </w:rPr>
  </w:style>
  <w:style w:type="paragraph" w:styleId="18">
    <w:name w:val="Balloon Text"/>
    <w:basedOn w:val="1"/>
    <w:link w:val="77"/>
    <w:qFormat/>
    <w:uiPriority w:val="0"/>
    <w:rPr>
      <w:sz w:val="18"/>
      <w:szCs w:val="18"/>
    </w:rPr>
  </w:style>
  <w:style w:type="paragraph" w:styleId="19">
    <w:name w:val="footer"/>
    <w:basedOn w:val="1"/>
    <w:next w:val="11"/>
    <w:link w:val="39"/>
    <w:qFormat/>
    <w:uiPriority w:val="0"/>
    <w:pPr>
      <w:tabs>
        <w:tab w:val="center" w:pos="4153"/>
        <w:tab w:val="right" w:pos="8306"/>
      </w:tabs>
      <w:snapToGrid w:val="0"/>
      <w:jc w:val="left"/>
    </w:pPr>
    <w:rPr>
      <w:sz w:val="18"/>
    </w:rPr>
  </w:style>
  <w:style w:type="paragraph" w:styleId="20">
    <w:name w:val="toc 1"/>
    <w:basedOn w:val="1"/>
    <w:next w:val="1"/>
    <w:qFormat/>
    <w:uiPriority w:val="39"/>
    <w:pPr>
      <w:spacing w:before="120" w:after="120"/>
      <w:jc w:val="left"/>
    </w:pPr>
    <w:rPr>
      <w:b/>
      <w:bCs/>
      <w:caps/>
      <w:sz w:val="20"/>
    </w:rPr>
  </w:style>
  <w:style w:type="paragraph" w:styleId="21">
    <w:name w:val="toc 2"/>
    <w:basedOn w:val="1"/>
    <w:next w:val="1"/>
    <w:qFormat/>
    <w:uiPriority w:val="0"/>
    <w:pPr>
      <w:ind w:left="200" w:leftChars="200"/>
    </w:pPr>
    <w:rPr>
      <w:szCs w:val="24"/>
    </w:rPr>
  </w:style>
  <w:style w:type="paragraph" w:styleId="22">
    <w:name w:val="annotation subject"/>
    <w:basedOn w:val="10"/>
    <w:next w:val="10"/>
    <w:semiHidden/>
    <w:qFormat/>
    <w:uiPriority w:val="0"/>
    <w:rPr>
      <w:b/>
      <w:bCs/>
    </w:rPr>
  </w:style>
  <w:style w:type="paragraph" w:styleId="23">
    <w:name w:val="Body Text First Indent 2"/>
    <w:basedOn w:val="13"/>
    <w:next w:val="1"/>
    <w:qFormat/>
    <w:uiPriority w:val="0"/>
    <w:pPr>
      <w:spacing w:after="120"/>
      <w:ind w:left="420" w:leftChars="200" w:firstLine="42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FollowedHyperlink"/>
    <w:basedOn w:val="26"/>
    <w:unhideWhenUsed/>
    <w:qFormat/>
    <w:uiPriority w:val="99"/>
    <w:rPr>
      <w:color w:val="954F72"/>
      <w:u w:val="single"/>
    </w:rPr>
  </w:style>
  <w:style w:type="character" w:styleId="29">
    <w:name w:val="Hyperlink"/>
    <w:basedOn w:val="26"/>
    <w:qFormat/>
    <w:uiPriority w:val="99"/>
    <w:rPr>
      <w:color w:val="0000FF"/>
      <w:u w:val="single"/>
    </w:rPr>
  </w:style>
  <w:style w:type="character" w:styleId="30">
    <w:name w:val="annotation reference"/>
    <w:semiHidden/>
    <w:qFormat/>
    <w:uiPriority w:val="0"/>
    <w:rPr>
      <w:sz w:val="21"/>
    </w:rPr>
  </w:style>
  <w:style w:type="character" w:customStyle="1" w:styleId="31">
    <w:name w:val="日期 字符"/>
    <w:link w:val="15"/>
    <w:qFormat/>
    <w:uiPriority w:val="0"/>
    <w:rPr>
      <w:kern w:val="2"/>
      <w:sz w:val="21"/>
    </w:rPr>
  </w:style>
  <w:style w:type="character" w:customStyle="1" w:styleId="32">
    <w:name w:val="列表段落 字符"/>
    <w:link w:val="33"/>
    <w:qFormat/>
    <w:uiPriority w:val="34"/>
    <w:rPr>
      <w:rFonts w:ascii="Calibri" w:hAnsi="Calibri"/>
      <w:kern w:val="2"/>
      <w:sz w:val="21"/>
      <w:szCs w:val="22"/>
    </w:rPr>
  </w:style>
  <w:style w:type="paragraph" w:styleId="33">
    <w:name w:val="List Paragraph"/>
    <w:basedOn w:val="1"/>
    <w:link w:val="32"/>
    <w:qFormat/>
    <w:uiPriority w:val="34"/>
    <w:pPr>
      <w:ind w:firstLine="200" w:firstLineChars="200"/>
    </w:pPr>
    <w:rPr>
      <w:rFonts w:ascii="Calibri" w:hAnsi="Calibri"/>
      <w:szCs w:val="22"/>
    </w:rPr>
  </w:style>
  <w:style w:type="paragraph" w:customStyle="1" w:styleId="34">
    <w:name w:val="4+正文"/>
    <w:basedOn w:val="1"/>
    <w:qFormat/>
    <w:uiPriority w:val="0"/>
    <w:pPr>
      <w:spacing w:line="500" w:lineRule="exact"/>
      <w:ind w:firstLine="480" w:firstLineChars="200"/>
    </w:pPr>
    <w:rPr>
      <w:rFonts w:hAnsi="宋体"/>
      <w:sz w:val="24"/>
      <w:szCs w:val="24"/>
    </w:rPr>
  </w:style>
  <w:style w:type="paragraph" w:customStyle="1" w:styleId="3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列出段落2"/>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37">
    <w:name w:val="一级条标题"/>
    <w:basedOn w:val="1"/>
    <w:next w:val="1"/>
    <w:qFormat/>
    <w:uiPriority w:val="0"/>
    <w:pPr>
      <w:widowControl/>
      <w:numPr>
        <w:ilvl w:val="2"/>
        <w:numId w:val="2"/>
      </w:numPr>
    </w:pPr>
    <w:rPr>
      <w:rFonts w:ascii="黑体" w:eastAsia="黑体"/>
      <w:kern w:val="0"/>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9">
    <w:name w:val="页脚 字符"/>
    <w:basedOn w:val="26"/>
    <w:link w:val="19"/>
    <w:qFormat/>
    <w:uiPriority w:val="99"/>
    <w:rPr>
      <w:kern w:val="2"/>
      <w:sz w:val="18"/>
    </w:rPr>
  </w:style>
  <w:style w:type="paragraph" w:customStyle="1" w:styleId="40">
    <w:name w:val="最终正文格式"/>
    <w:basedOn w:val="11"/>
    <w:qFormat/>
    <w:uiPriority w:val="0"/>
    <w:pPr>
      <w:spacing w:line="240" w:lineRule="auto"/>
      <w:ind w:left="315" w:leftChars="315" w:firstLine="200" w:firstLineChars="200"/>
    </w:pPr>
    <w:rPr>
      <w:rFonts w:ascii="Arial" w:hAnsi="Arial" w:cs="宋体"/>
      <w:kern w:val="0"/>
      <w:sz w:val="20"/>
      <w:lang w:eastAsia="en-US"/>
    </w:rPr>
  </w:style>
  <w:style w:type="paragraph" w:customStyle="1" w:styleId="41">
    <w:name w:val="*正文"/>
    <w:basedOn w:val="1"/>
    <w:qFormat/>
    <w:uiPriority w:val="0"/>
    <w:rPr>
      <w:rFonts w:ascii="宋体" w:hAnsi="宋体"/>
      <w:szCs w:val="24"/>
    </w:rPr>
  </w:style>
  <w:style w:type="paragraph" w:customStyle="1" w:styleId="42">
    <w:name w:val="标书标题4"/>
    <w:basedOn w:val="5"/>
    <w:qFormat/>
    <w:uiPriority w:val="0"/>
  </w:style>
  <w:style w:type="character" w:customStyle="1" w:styleId="43">
    <w:name w:val="font21"/>
    <w:basedOn w:val="26"/>
    <w:qFormat/>
    <w:uiPriority w:val="0"/>
    <w:rPr>
      <w:rFonts w:hint="eastAsia" w:ascii="宋体" w:hAnsi="宋体" w:eastAsia="宋体" w:cs="宋体"/>
      <w:color w:val="000000"/>
      <w:sz w:val="21"/>
      <w:szCs w:val="21"/>
      <w:u w:val="none"/>
    </w:rPr>
  </w:style>
  <w:style w:type="character" w:customStyle="1" w:styleId="44">
    <w:name w:val="font11"/>
    <w:basedOn w:val="26"/>
    <w:qFormat/>
    <w:uiPriority w:val="0"/>
    <w:rPr>
      <w:rFonts w:hint="eastAsia" w:ascii="宋体" w:hAnsi="宋体" w:eastAsia="宋体" w:cs="宋体"/>
      <w:color w:val="000000"/>
      <w:sz w:val="21"/>
      <w:szCs w:val="21"/>
      <w:u w:val="none"/>
    </w:rPr>
  </w:style>
  <w:style w:type="character" w:customStyle="1" w:styleId="45">
    <w:name w:val="font31"/>
    <w:basedOn w:val="26"/>
    <w:qFormat/>
    <w:uiPriority w:val="0"/>
    <w:rPr>
      <w:rFonts w:hint="eastAsia" w:ascii="宋体" w:hAnsi="宋体" w:eastAsia="宋体" w:cs="宋体"/>
      <w:color w:val="000000"/>
      <w:sz w:val="22"/>
      <w:szCs w:val="22"/>
      <w:u w:val="none"/>
    </w:rPr>
  </w:style>
  <w:style w:type="table" w:customStyle="1" w:styleId="46">
    <w:name w:val="Table Normal"/>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character" w:customStyle="1" w:styleId="47">
    <w:name w:val="font41"/>
    <w:basedOn w:val="26"/>
    <w:qFormat/>
    <w:uiPriority w:val="0"/>
    <w:rPr>
      <w:rFonts w:hint="eastAsia" w:ascii="宋体" w:hAnsi="宋体" w:eastAsia="宋体" w:cs="宋体"/>
      <w:color w:val="000000"/>
      <w:sz w:val="18"/>
      <w:szCs w:val="18"/>
      <w:u w:val="none"/>
    </w:rPr>
  </w:style>
  <w:style w:type="character" w:customStyle="1" w:styleId="48">
    <w:name w:val="font51"/>
    <w:basedOn w:val="26"/>
    <w:qFormat/>
    <w:uiPriority w:val="0"/>
    <w:rPr>
      <w:rFonts w:hint="default" w:ascii="Times New Roman" w:hAnsi="Times New Roman" w:cs="Times New Roman"/>
      <w:color w:val="000000"/>
      <w:sz w:val="18"/>
      <w:szCs w:val="18"/>
      <w:u w:val="none"/>
      <w:vertAlign w:val="superscript"/>
    </w:rPr>
  </w:style>
  <w:style w:type="character" w:customStyle="1" w:styleId="49">
    <w:name w:val="NormalCharacter"/>
    <w:semiHidden/>
    <w:qFormat/>
    <w:uiPriority w:val="0"/>
    <w:rPr>
      <w:rFonts w:ascii="Times New Roman" w:hAnsi="Times New Roman" w:eastAsia="宋体" w:cs="Times New Roman"/>
      <w:kern w:val="2"/>
      <w:sz w:val="21"/>
      <w:lang w:val="en-US" w:eastAsia="zh-CN" w:bidi="ar-SA"/>
    </w:rPr>
  </w:style>
  <w:style w:type="paragraph" w:customStyle="1" w:styleId="50">
    <w:name w:val="179"/>
    <w:basedOn w:val="1"/>
    <w:qFormat/>
    <w:uiPriority w:val="0"/>
    <w:pPr>
      <w:widowControl/>
      <w:spacing w:after="200" w:line="276" w:lineRule="auto"/>
      <w:ind w:left="720"/>
      <w:contextualSpacing/>
      <w:textAlignment w:val="baseline"/>
    </w:pPr>
  </w:style>
  <w:style w:type="paragraph" w:customStyle="1" w:styleId="51">
    <w:name w:val="默认段落字体 Para Char"/>
    <w:basedOn w:val="1"/>
    <w:next w:val="1"/>
    <w:qFormat/>
    <w:uiPriority w:val="0"/>
    <w:pPr>
      <w:spacing w:line="360" w:lineRule="auto"/>
      <w:ind w:firstLine="200" w:firstLineChars="200"/>
    </w:pPr>
    <w:rPr>
      <w:rFonts w:ascii="宋体" w:hAnsi="宋体" w:cs="宋体"/>
      <w:sz w:val="24"/>
      <w:szCs w:val="24"/>
    </w:rPr>
  </w:style>
  <w:style w:type="paragraph" w:customStyle="1" w:styleId="5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3">
    <w:name w:val="王正超正文"/>
    <w:basedOn w:val="1"/>
    <w:qFormat/>
    <w:uiPriority w:val="0"/>
    <w:pPr>
      <w:spacing w:line="480" w:lineRule="exact"/>
      <w:ind w:firstLine="200" w:firstLineChars="200"/>
    </w:pPr>
    <w:rPr>
      <w:rFonts w:ascii="宋体"/>
      <w:sz w:val="24"/>
      <w:szCs w:val="24"/>
    </w:rPr>
  </w:style>
  <w:style w:type="paragraph" w:customStyle="1" w:styleId="54">
    <w:name w:val="标准正文"/>
    <w:basedOn w:val="1"/>
    <w:qFormat/>
    <w:uiPriority w:val="0"/>
    <w:pPr>
      <w:spacing w:line="360" w:lineRule="auto"/>
      <w:ind w:left="357"/>
    </w:pPr>
    <w:rPr>
      <w:sz w:val="24"/>
      <w:szCs w:val="28"/>
    </w:rPr>
  </w:style>
  <w:style w:type="paragraph" w:customStyle="1" w:styleId="5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6">
    <w:name w:val="xl69"/>
    <w:basedOn w:val="1"/>
    <w:qFormat/>
    <w:uiPriority w:val="0"/>
    <w:pPr>
      <w:widowControl/>
      <w:spacing w:before="100" w:beforeAutospacing="1" w:after="100" w:afterAutospacing="1"/>
      <w:jc w:val="center"/>
    </w:pPr>
    <w:rPr>
      <w:rFonts w:ascii="宋体" w:hAnsi="宋体" w:cs="宋体"/>
      <w:kern w:val="0"/>
      <w:sz w:val="22"/>
      <w:szCs w:val="22"/>
    </w:rPr>
  </w:style>
  <w:style w:type="paragraph" w:customStyle="1" w:styleId="5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2"/>
      <w:szCs w:val="22"/>
    </w:rPr>
  </w:style>
  <w:style w:type="paragraph" w:customStyle="1" w:styleId="6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4">
    <w:name w:val="xl8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7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7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character" w:customStyle="1" w:styleId="77">
    <w:name w:val="批注框文本 字符"/>
    <w:basedOn w:val="26"/>
    <w:link w:val="18"/>
    <w:qFormat/>
    <w:uiPriority w:val="0"/>
    <w:rPr>
      <w:kern w:val="2"/>
      <w:sz w:val="18"/>
      <w:szCs w:val="18"/>
    </w:rPr>
  </w:style>
  <w:style w:type="paragraph" w:customStyle="1" w:styleId="78">
    <w:name w:val="列项——"/>
    <w:qFormat/>
    <w:uiPriority w:val="0"/>
    <w:pPr>
      <w:widowControl w:val="0"/>
      <w:numPr>
        <w:ilvl w:val="0"/>
        <w:numId w:val="3"/>
      </w:numPr>
      <w:tabs>
        <w:tab w:val="left" w:pos="854"/>
      </w:tabs>
      <w:ind w:leftChars="200" w:hangingChars="200"/>
      <w:jc w:val="both"/>
    </w:pPr>
    <w:rPr>
      <w:rFonts w:ascii="宋体" w:hAnsi="Times New Roman" w:eastAsia="宋体" w:cs="Times New Roman"/>
      <w:sz w:val="21"/>
      <w:lang w:val="en-US" w:eastAsia="zh-CN" w:bidi="ar-SA"/>
    </w:rPr>
  </w:style>
  <w:style w:type="paragraph" w:customStyle="1" w:styleId="79">
    <w:name w:val="字母编号列项（一级）"/>
    <w:qFormat/>
    <w:uiPriority w:val="0"/>
    <w:pPr>
      <w:numPr>
        <w:ilvl w:val="0"/>
        <w:numId w:val="4"/>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1778</Words>
  <Characters>2114</Characters>
  <Lines>113</Lines>
  <Paragraphs>32</Paragraphs>
  <TotalTime>12</TotalTime>
  <ScaleCrop>false</ScaleCrop>
  <LinksUpToDate>false</LinksUpToDate>
  <CharactersWithSpaces>2141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2022-05-18T14:58:00Z</dcterms:created>
  <dc:creator>lenovo</dc:creator>
  <cp:lastModifiedBy>黄美华</cp:lastModifiedBy>
  <cp:lastPrinted>2022-01-21T02:07:00Z</cp:lastPrinted>
  <dcterms:modified xsi:type="dcterms:W3CDTF">2022-07-18T23:54:42Z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20B891D9B0CC47E98798FE9EA2958386</vt:lpwstr>
  </property>
</Properties>
</file>