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leftChars="0" w:hanging="421" w:hangingChars="131"/>
        <w:jc w:val="right"/>
        <w:rPr>
          <w:rFonts w:hint="default" w:ascii="宋体" w:hAnsi="宋体"/>
          <w:b/>
          <w:bCs w:val="0"/>
          <w:color w:val="auto"/>
          <w:sz w:val="72"/>
          <w:szCs w:val="72"/>
          <w:lang w:val="en-US" w:eastAsia="zh-CN"/>
        </w:rPr>
      </w:pPr>
      <w:r>
        <w:rPr>
          <w:rFonts w:hint="eastAsia" w:ascii="黑体" w:hAnsi="黑体" w:eastAsia="黑体" w:cs="黑体"/>
          <w:b/>
          <w:bCs w:val="0"/>
          <w:sz w:val="32"/>
          <w:szCs w:val="32"/>
          <w:lang w:val="en-US" w:eastAsia="zh-CN"/>
        </w:rPr>
        <w:t>编号：</w:t>
      </w:r>
      <w:r>
        <w:rPr>
          <w:rFonts w:hint="eastAsia" w:ascii="黑体" w:hAnsi="黑体" w:eastAsia="黑体" w:cs="黑体"/>
          <w:b/>
          <w:bCs/>
          <w:color w:val="auto"/>
          <w:sz w:val="32"/>
          <w:szCs w:val="32"/>
          <w:lang w:val="en-US" w:eastAsia="zh-CN"/>
        </w:rPr>
        <w:t>WJT-2022-ZX-003</w:t>
      </w:r>
    </w:p>
    <w:p>
      <w:pPr>
        <w:ind w:left="420"/>
        <w:jc w:val="center"/>
        <w:rPr>
          <w:rFonts w:hint="eastAsia" w:ascii="宋体" w:hAnsi="宋体"/>
          <w:b/>
          <w:bCs w:val="0"/>
          <w:sz w:val="72"/>
          <w:szCs w:val="72"/>
          <w:lang w:eastAsia="zh-CN"/>
        </w:rPr>
      </w:pPr>
    </w:p>
    <w:p>
      <w:pPr>
        <w:ind w:left="420"/>
        <w:jc w:val="center"/>
        <w:rPr>
          <w:rFonts w:hint="eastAsia" w:ascii="宋体" w:hAnsi="宋体"/>
          <w:b/>
          <w:bCs w:val="0"/>
          <w:sz w:val="44"/>
          <w:szCs w:val="44"/>
          <w:lang w:eastAsia="zh-CN"/>
        </w:rPr>
      </w:pPr>
    </w:p>
    <w:p>
      <w:pPr>
        <w:ind w:left="420"/>
        <w:jc w:val="center"/>
        <w:rPr>
          <w:rFonts w:hint="eastAsia" w:ascii="宋体" w:hAnsi="宋体"/>
          <w:b/>
          <w:bCs w:val="0"/>
          <w:sz w:val="44"/>
          <w:szCs w:val="44"/>
          <w:lang w:eastAsia="zh-CN"/>
        </w:rPr>
      </w:pPr>
    </w:p>
    <w:p>
      <w:pPr>
        <w:jc w:val="center"/>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内蒙古神东天隆集团股份有限公司</w:t>
      </w:r>
    </w:p>
    <w:p>
      <w:pPr>
        <w:jc w:val="center"/>
        <w:rPr>
          <w:rFonts w:hint="eastAsia" w:ascii="宋体" w:hAnsi="宋体" w:eastAsia="宋体" w:cs="宋体"/>
          <w:b/>
          <w:bCs w:val="0"/>
          <w:color w:val="auto"/>
          <w:sz w:val="44"/>
          <w:szCs w:val="44"/>
          <w:lang w:val="en-US" w:eastAsia="zh-CN"/>
        </w:rPr>
      </w:pPr>
      <w:r>
        <w:rPr>
          <w:rFonts w:hint="eastAsia" w:ascii="宋体" w:hAnsi="宋体" w:eastAsia="宋体" w:cs="宋体"/>
          <w:b/>
          <w:bCs w:val="0"/>
          <w:color w:val="auto"/>
          <w:sz w:val="44"/>
          <w:szCs w:val="44"/>
          <w:lang w:val="en-US" w:eastAsia="zh-CN"/>
        </w:rPr>
        <w:t>武家塔露天煤矿</w:t>
      </w:r>
    </w:p>
    <w:p>
      <w:pPr>
        <w:jc w:val="center"/>
        <w:rPr>
          <w:rFonts w:hint="eastAsia" w:ascii="宋体" w:hAnsi="宋体" w:eastAsia="宋体" w:cs="宋体"/>
          <w:b/>
          <w:bCs/>
          <w:color w:val="auto"/>
          <w:w w:val="80"/>
          <w:sz w:val="44"/>
          <w:szCs w:val="44"/>
          <w:lang w:val="en-US" w:eastAsia="zh-CN"/>
        </w:rPr>
      </w:pPr>
      <w:r>
        <w:rPr>
          <w:rFonts w:hint="eastAsia" w:ascii="宋体" w:hAnsi="宋体" w:eastAsia="宋体" w:cs="宋体"/>
          <w:b/>
          <w:bCs/>
          <w:color w:val="auto"/>
          <w:w w:val="80"/>
          <w:sz w:val="44"/>
          <w:szCs w:val="44"/>
          <w:lang w:val="en-US" w:eastAsia="zh-CN"/>
        </w:rPr>
        <w:t>关于购置（平地机）设备</w:t>
      </w:r>
    </w:p>
    <w:p>
      <w:pPr>
        <w:jc w:val="center"/>
        <w:rPr>
          <w:rFonts w:hint="eastAsia" w:ascii="宋体" w:hAnsi="宋体" w:eastAsia="宋体" w:cs="宋体"/>
          <w:b/>
          <w:bCs/>
          <w:color w:val="auto"/>
          <w:w w:val="80"/>
          <w:sz w:val="36"/>
          <w:szCs w:val="36"/>
          <w:lang w:val="en-US" w:eastAsia="zh-CN"/>
        </w:rPr>
      </w:pPr>
    </w:p>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bCs w:val="0"/>
          <w:sz w:val="96"/>
          <w:szCs w:val="96"/>
          <w:lang w:val="en-US" w:eastAsia="zh-CN"/>
        </w:rPr>
      </w:pPr>
      <w:r>
        <w:rPr>
          <w:rFonts w:hint="eastAsia" w:ascii="宋体" w:hAnsi="宋体" w:eastAsia="宋体" w:cs="宋体"/>
          <w:b/>
          <w:bCs w:val="0"/>
          <w:sz w:val="84"/>
          <w:szCs w:val="84"/>
          <w:lang w:eastAsia="zh-CN"/>
        </w:rPr>
        <w:t>技</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eastAsia="zh-CN"/>
        </w:rPr>
        <w:t>术</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要</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求</w:t>
      </w:r>
    </w:p>
    <w:p>
      <w:pPr>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kern w:val="2"/>
          <w:sz w:val="32"/>
          <w:szCs w:val="32"/>
          <w:lang w:val="en-US" w:eastAsia="zh-CN" w:bidi="ar-SA"/>
        </w:rPr>
      </w:pPr>
      <w:r>
        <w:rPr>
          <w:rFonts w:hint="eastAsia" w:ascii="宋体" w:hAnsi="宋体" w:eastAsia="宋体" w:cs="宋体"/>
          <w:b/>
          <w:sz w:val="32"/>
          <w:szCs w:val="21"/>
          <w:lang w:val="en-US" w:eastAsia="zh-CN"/>
        </w:rPr>
        <w:t xml:space="preserve">  </w:t>
      </w:r>
      <w:r>
        <w:rPr>
          <w:rFonts w:hint="eastAsia" w:asciiTheme="minorEastAsia" w:hAnsiTheme="minorEastAsia" w:eastAsiaTheme="minorEastAsia" w:cstheme="minorEastAsia"/>
          <w:b/>
          <w:bCs/>
          <w:sz w:val="32"/>
          <w:szCs w:val="32"/>
          <w:lang w:val="en-US" w:eastAsia="zh-CN"/>
        </w:rPr>
        <w:t>使用方：</w:t>
      </w:r>
      <w:r>
        <w:rPr>
          <w:rFonts w:hint="eastAsia" w:asciiTheme="minorEastAsia" w:hAnsiTheme="minorEastAsia" w:eastAsiaTheme="minorEastAsia" w:cstheme="minorEastAsia"/>
          <w:kern w:val="2"/>
          <w:sz w:val="32"/>
          <w:szCs w:val="32"/>
          <w:lang w:val="en-US" w:eastAsia="zh-CN" w:bidi="ar-SA"/>
        </w:rPr>
        <w:t>内蒙古神东天隆集团股份有限公司武家塔露天煤矿</w:t>
      </w:r>
    </w:p>
    <w:p>
      <w:pPr>
        <w:jc w:val="center"/>
        <w:rPr>
          <w:rFonts w:hint="eastAsia"/>
          <w:sz w:val="32"/>
          <w:szCs w:val="32"/>
          <w:lang w:val="en-US" w:eastAsia="zh-CN"/>
        </w:rPr>
      </w:pPr>
      <w:r>
        <w:rPr>
          <w:rFonts w:hint="eastAsia" w:asciiTheme="minorEastAsia" w:hAnsiTheme="minorEastAsia" w:eastAsiaTheme="minorEastAsia" w:cstheme="minorEastAsia"/>
          <w:b/>
          <w:bCs/>
          <w:sz w:val="32"/>
          <w:szCs w:val="32"/>
          <w:lang w:val="en-US" w:eastAsia="zh-CN"/>
        </w:rPr>
        <w:t>审核方：</w:t>
      </w:r>
      <w:r>
        <w:rPr>
          <w:rFonts w:hint="eastAsia" w:asciiTheme="minorEastAsia" w:hAnsiTheme="minorEastAsia" w:eastAsiaTheme="minorEastAsia" w:cstheme="minorEastAsia"/>
          <w:sz w:val="32"/>
          <w:szCs w:val="32"/>
          <w:lang w:val="en-US" w:eastAsia="zh-CN"/>
        </w:rPr>
        <w:t>内蒙古神东天隆集团股份有限公司机电动力部</w:t>
      </w:r>
      <w:r>
        <w:rPr>
          <w:rFonts w:hint="eastAsia" w:asciiTheme="minorEastAsia" w:hAnsiTheme="minorEastAsia" w:eastAsiaTheme="minorEastAsia" w:cstheme="minorEastAsia"/>
          <w:color w:val="000000"/>
          <w:szCs w:val="21"/>
        </w:rPr>
        <w:t xml:space="preserve">     </w:t>
      </w:r>
      <w:r>
        <w:rPr>
          <w:rFonts w:hint="eastAsia"/>
          <w:sz w:val="30"/>
          <w:szCs w:val="30"/>
          <w:lang w:val="en-US" w:eastAsia="zh-CN"/>
        </w:rPr>
        <w:t xml:space="preserve">                                </w:t>
      </w:r>
      <w:r>
        <w:rPr>
          <w:rFonts w:hint="eastAsia"/>
          <w:sz w:val="32"/>
          <w:szCs w:val="32"/>
          <w:lang w:val="en-US" w:eastAsia="zh-CN"/>
        </w:rPr>
        <w:t xml:space="preserve"> </w:t>
      </w:r>
    </w:p>
    <w:p>
      <w:pPr>
        <w:tabs>
          <w:tab w:val="left" w:pos="1227"/>
        </w:tabs>
        <w:jc w:val="center"/>
        <w:rPr>
          <w:rFonts w:ascii="宋体" w:hAnsi="宋体"/>
          <w:b w:val="0"/>
          <w:bCs/>
          <w:sz w:val="32"/>
          <w:szCs w:val="21"/>
          <w:u w:val="none" w:color="auto"/>
        </w:rPr>
      </w:pPr>
      <w:r>
        <w:rPr>
          <w:rFonts w:ascii="宋体" w:hAnsi="宋体"/>
          <w:b w:val="0"/>
          <w:bCs/>
          <w:sz w:val="32"/>
          <w:szCs w:val="21"/>
          <w:u w:val="none" w:color="auto"/>
        </w:rPr>
        <w:t>20</w:t>
      </w:r>
      <w:r>
        <w:rPr>
          <w:rFonts w:hint="eastAsia" w:ascii="宋体" w:hAnsi="宋体"/>
          <w:b w:val="0"/>
          <w:bCs/>
          <w:sz w:val="32"/>
          <w:szCs w:val="21"/>
          <w:u w:val="none" w:color="auto"/>
          <w:lang w:val="en-US" w:eastAsia="zh-CN"/>
        </w:rPr>
        <w:t>22</w:t>
      </w:r>
      <w:r>
        <w:rPr>
          <w:rFonts w:ascii="宋体" w:hAnsi="宋体"/>
          <w:b w:val="0"/>
          <w:bCs/>
          <w:sz w:val="32"/>
          <w:szCs w:val="21"/>
          <w:u w:val="none" w:color="auto"/>
        </w:rPr>
        <w:t>年</w:t>
      </w:r>
      <w:r>
        <w:rPr>
          <w:rFonts w:hint="eastAsia" w:ascii="宋体" w:hAnsi="宋体"/>
          <w:b w:val="0"/>
          <w:bCs/>
          <w:sz w:val="32"/>
          <w:szCs w:val="21"/>
          <w:u w:val="none" w:color="auto"/>
          <w:lang w:val="en-US" w:eastAsia="zh-CN"/>
        </w:rPr>
        <w:t>6</w:t>
      </w:r>
      <w:r>
        <w:rPr>
          <w:rFonts w:ascii="宋体" w:hAnsi="宋体"/>
          <w:b w:val="0"/>
          <w:bCs/>
          <w:sz w:val="32"/>
          <w:szCs w:val="21"/>
          <w:u w:val="none" w:color="auto"/>
        </w:rPr>
        <w:t>月</w:t>
      </w:r>
      <w:r>
        <w:rPr>
          <w:rFonts w:hint="eastAsia" w:ascii="宋体" w:hAnsi="宋体"/>
          <w:b w:val="0"/>
          <w:bCs/>
          <w:sz w:val="32"/>
          <w:szCs w:val="21"/>
          <w:u w:val="none" w:color="auto"/>
          <w:lang w:val="en-US" w:eastAsia="zh-CN"/>
        </w:rPr>
        <w:t>30</w:t>
      </w:r>
      <w:r>
        <w:rPr>
          <w:rFonts w:ascii="宋体" w:hAnsi="宋体"/>
          <w:b w:val="0"/>
          <w:bCs/>
          <w:sz w:val="32"/>
          <w:szCs w:val="21"/>
          <w:u w:val="none" w:color="auto"/>
        </w:rPr>
        <w:t>日</w:t>
      </w:r>
    </w:p>
    <w:p>
      <w:pPr>
        <w:jc w:val="center"/>
        <w:rPr>
          <w:rFonts w:hint="eastAsia" w:ascii="宋体" w:hAnsi="宋体" w:cs="宋体"/>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ind w:firstLine="5783" w:firstLineChars="1800"/>
        <w:jc w:val="both"/>
        <w:rPr>
          <w:rFonts w:hint="default" w:eastAsia="黑体"/>
          <w:color w:val="auto"/>
          <w:sz w:val="32"/>
          <w:szCs w:val="32"/>
          <w:lang w:val="en-US" w:eastAsia="zh-CN"/>
        </w:rPr>
      </w:pPr>
      <w:r>
        <w:rPr>
          <w:rFonts w:hint="eastAsia" w:ascii="黑体" w:hAnsi="黑体" w:eastAsia="黑体" w:cs="黑体"/>
          <w:b/>
          <w:bCs/>
          <w:color w:val="auto"/>
          <w:sz w:val="32"/>
          <w:szCs w:val="32"/>
        </w:rPr>
        <w:t>编号：</w:t>
      </w:r>
      <w:r>
        <w:rPr>
          <w:rFonts w:hint="eastAsia" w:ascii="黑体" w:hAnsi="黑体" w:eastAsia="黑体" w:cs="黑体"/>
          <w:b/>
          <w:bCs/>
          <w:color w:val="auto"/>
          <w:sz w:val="32"/>
          <w:szCs w:val="32"/>
          <w:lang w:val="en-US" w:eastAsia="zh-CN"/>
        </w:rPr>
        <w:t>WJT-2022-ZX-003</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bCs/>
          <w:sz w:val="36"/>
          <w:szCs w:val="36"/>
          <w:lang w:val="en-US" w:eastAsia="zh-CN"/>
        </w:rPr>
        <w:t>技 术 要 求</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sz w:val="32"/>
          <w:szCs w:val="32"/>
          <w:lang w:val="en-US" w:eastAsia="zh-CN"/>
        </w:rPr>
        <w:t>使用方：</w:t>
      </w:r>
      <w:r>
        <w:rPr>
          <w:rFonts w:hint="eastAsia" w:asciiTheme="minorEastAsia" w:hAnsiTheme="minorEastAsia" w:eastAsiaTheme="minorEastAsia" w:cstheme="minorEastAsia"/>
          <w:color w:val="auto"/>
          <w:sz w:val="32"/>
          <w:szCs w:val="32"/>
          <w:lang w:val="en-US" w:eastAsia="zh-CN"/>
        </w:rPr>
        <w:t>内蒙古神东天隆集团股份有限公司武家塔露天煤矿</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32"/>
          <w:szCs w:val="32"/>
          <w:lang w:val="en-US" w:eastAsia="zh-CN"/>
        </w:rPr>
        <w:t>审核方：内蒙古神东天隆集团股份有限公司机电动力部</w:t>
      </w:r>
      <w:r>
        <w:rPr>
          <w:rFonts w:hint="eastAsia" w:asciiTheme="minorEastAsia" w:hAnsiTheme="minorEastAsia" w:eastAsiaTheme="minorEastAsia" w:cstheme="minorEastAsia"/>
          <w:color w:val="000000"/>
          <w:szCs w:val="21"/>
        </w:rPr>
        <w:t xml:space="preserve">               </w:t>
      </w:r>
    </w:p>
    <w:p>
      <w:pPr>
        <w:pStyle w:val="12"/>
        <w:ind w:left="0" w:leftChars="0" w:firstLine="643"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bCs/>
          <w:sz w:val="32"/>
          <w:szCs w:val="32"/>
          <w:lang w:val="en-US" w:eastAsia="zh-CN"/>
        </w:rPr>
        <w:t>一、基本信息：</w:t>
      </w:r>
    </w:p>
    <w:tbl>
      <w:tblPr>
        <w:tblStyle w:val="9"/>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2287"/>
        <w:gridCol w:w="550"/>
        <w:gridCol w:w="550"/>
        <w:gridCol w:w="145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286" w:type="dxa"/>
            <w:noWrap w:val="0"/>
            <w:vAlign w:val="center"/>
          </w:tcPr>
          <w:p>
            <w:pPr>
              <w:ind w:right="-63" w:rightChars="-30"/>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名称</w:t>
            </w:r>
          </w:p>
        </w:tc>
        <w:tc>
          <w:tcPr>
            <w:tcW w:w="2287" w:type="dxa"/>
            <w:noWrap w:val="0"/>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规格型号</w:t>
            </w:r>
          </w:p>
        </w:tc>
        <w:tc>
          <w:tcPr>
            <w:tcW w:w="550" w:type="dxa"/>
            <w:noWrap w:val="0"/>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单</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位</w:t>
            </w:r>
          </w:p>
        </w:tc>
        <w:tc>
          <w:tcPr>
            <w:tcW w:w="550" w:type="dxa"/>
            <w:noWrap w:val="0"/>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数</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量</w:t>
            </w:r>
          </w:p>
        </w:tc>
        <w:tc>
          <w:tcPr>
            <w:tcW w:w="1454" w:type="dxa"/>
            <w:noWrap w:val="0"/>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资金来源</w:t>
            </w:r>
          </w:p>
        </w:tc>
        <w:tc>
          <w:tcPr>
            <w:tcW w:w="2663" w:type="dxa"/>
            <w:noWrap w:val="0"/>
            <w:vAlign w:val="center"/>
          </w:tcPr>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交（提）货</w:t>
            </w:r>
          </w:p>
          <w:p>
            <w:pPr>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286" w:type="dxa"/>
            <w:noWrap w:val="0"/>
            <w:vAlign w:val="center"/>
          </w:tcPr>
          <w:p>
            <w:pPr>
              <w:widowControl/>
              <w:jc w:val="center"/>
              <w:textAlignment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sz w:val="21"/>
                <w:szCs w:val="21"/>
                <w:lang w:val="en-US" w:eastAsia="zh-CN"/>
              </w:rPr>
              <w:t>平地机</w:t>
            </w:r>
          </w:p>
          <w:p>
            <w:pPr>
              <w:widowControl/>
              <w:jc w:val="center"/>
              <w:textAlignment w:val="center"/>
              <w:rPr>
                <w:rFonts w:hint="eastAsia" w:asciiTheme="minorEastAsia" w:hAnsiTheme="minorEastAsia" w:eastAsiaTheme="minorEastAsia" w:cstheme="minorEastAsia"/>
                <w:b w:val="0"/>
                <w:bCs w:val="0"/>
                <w:color w:val="000000"/>
                <w:sz w:val="21"/>
                <w:szCs w:val="21"/>
              </w:rPr>
            </w:pPr>
          </w:p>
        </w:tc>
        <w:tc>
          <w:tcPr>
            <w:tcW w:w="2287" w:type="dxa"/>
            <w:noWrap w:val="0"/>
            <w:vAlign w:val="center"/>
          </w:tcPr>
          <w:p>
            <w:pPr>
              <w:widowControl/>
              <w:jc w:val="center"/>
              <w:textAlignment w:val="center"/>
              <w:rPr>
                <w:rFonts w:hint="eastAsia" w:asciiTheme="minorEastAsia" w:hAnsiTheme="minorEastAsia" w:eastAsiaTheme="minorEastAsia" w:cstheme="minorEastAsia"/>
                <w:b w:val="0"/>
                <w:bCs w:val="0"/>
                <w:color w:val="000000"/>
                <w:sz w:val="21"/>
                <w:szCs w:val="21"/>
              </w:rPr>
            </w:pPr>
          </w:p>
        </w:tc>
        <w:tc>
          <w:tcPr>
            <w:tcW w:w="550" w:type="dxa"/>
            <w:noWrap w:val="0"/>
            <w:vAlign w:val="center"/>
          </w:tcPr>
          <w:p>
            <w:pPr>
              <w:widowControl/>
              <w:jc w:val="center"/>
              <w:textAlignment w:val="center"/>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台</w:t>
            </w:r>
          </w:p>
        </w:tc>
        <w:tc>
          <w:tcPr>
            <w:tcW w:w="550" w:type="dxa"/>
            <w:noWrap w:val="0"/>
            <w:vAlign w:val="center"/>
          </w:tcPr>
          <w:p>
            <w:pPr>
              <w:widowControl/>
              <w:jc w:val="center"/>
              <w:textAlignment w:val="center"/>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1</w:t>
            </w:r>
          </w:p>
        </w:tc>
        <w:tc>
          <w:tcPr>
            <w:tcW w:w="1454" w:type="dxa"/>
            <w:noWrap w:val="0"/>
            <w:vAlign w:val="center"/>
          </w:tcPr>
          <w:p>
            <w:pPr>
              <w:adjustRightInd w:val="0"/>
              <w:snapToGrid w:val="0"/>
              <w:spacing w:line="320" w:lineRule="exact"/>
              <w:jc w:val="center"/>
              <w:rPr>
                <w:rFonts w:hint="default"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000000"/>
                <w:sz w:val="21"/>
                <w:szCs w:val="21"/>
                <w:lang w:val="en-US" w:eastAsia="zh-CN"/>
              </w:rPr>
              <w:t>专项</w:t>
            </w:r>
          </w:p>
        </w:tc>
        <w:tc>
          <w:tcPr>
            <w:tcW w:w="2663" w:type="dxa"/>
            <w:noWrap w:val="0"/>
            <w:vAlign w:val="center"/>
          </w:tcPr>
          <w:p>
            <w:pPr>
              <w:spacing w:after="80" w:line="360" w:lineRule="auto"/>
              <w:jc w:val="center"/>
              <w:rPr>
                <w:rStyle w:val="11"/>
                <w:rFonts w:ascii="宋体" w:hAnsi="宋体"/>
                <w:b w:val="0"/>
                <w:color w:val="000000"/>
                <w:sz w:val="21"/>
                <w:szCs w:val="21"/>
                <w:shd w:val="clear" w:color="auto" w:fill="FFFFFF"/>
              </w:rPr>
            </w:pPr>
            <w:r>
              <w:rPr>
                <w:rFonts w:hint="eastAsia" w:ascii="宋体" w:hAnsi="宋体"/>
                <w:color w:val="000000"/>
                <w:sz w:val="21"/>
                <w:szCs w:val="21"/>
                <w:shd w:val="clear" w:color="auto" w:fill="FFFFFF"/>
              </w:rPr>
              <w:t>武家塔露天煤矿</w:t>
            </w:r>
          </w:p>
          <w:p>
            <w:pPr>
              <w:adjustRightInd w:val="0"/>
              <w:snapToGrid w:val="0"/>
              <w:spacing w:line="320" w:lineRule="exact"/>
              <w:jc w:val="center"/>
              <w:rPr>
                <w:rFonts w:hint="eastAsia" w:asciiTheme="minorEastAsia" w:hAnsiTheme="minorEastAsia" w:eastAsiaTheme="minorEastAsia" w:cstheme="minorEastAsia"/>
                <w:b w:val="0"/>
                <w:bCs w:val="0"/>
                <w:color w:val="000000"/>
                <w:sz w:val="21"/>
                <w:szCs w:val="21"/>
              </w:rPr>
            </w:pPr>
          </w:p>
        </w:tc>
      </w:tr>
    </w:tbl>
    <w:p>
      <w:pPr>
        <w:rPr>
          <w:rFonts w:hint="eastAsia" w:asciiTheme="minorEastAsia" w:hAnsiTheme="minorEastAsia" w:eastAsiaTheme="minorEastAsia" w:cstheme="minorEastAsia"/>
          <w:vanish/>
        </w:rPr>
      </w:pPr>
    </w:p>
    <w:p>
      <w:pPr>
        <w:numPr>
          <w:ilvl w:val="0"/>
          <w:numId w:val="0"/>
        </w:numPr>
        <w:ind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二、基本参数：</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（1）发动机型号：QSM 11 </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（2）额定功率/转速：261kW/2100rpm </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（3）整机外型尺寸（标配）：11320X3400X4100mm</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（4）整机重量（标配） ：32000kg </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（5）轮胎规格 ：23.5R25</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（6）离地间隙（前桥）：625mm</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（7）轮距：2700mm </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（8）前后桥距：7300mm</w:t>
      </w:r>
    </w:p>
    <w:p>
      <w:pPr>
        <w:keepNext w:val="0"/>
        <w:keepLines w:val="0"/>
        <w:widowControl/>
        <w:numPr>
          <w:ilvl w:val="0"/>
          <w:numId w:val="0"/>
        </w:numPr>
        <w:suppressLineNumbers w:val="0"/>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（9）中后轮距（标配）：1960mm</w:t>
      </w:r>
    </w:p>
    <w:p>
      <w:pPr>
        <w:pStyle w:val="2"/>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kern w:val="2"/>
          <w:sz w:val="32"/>
          <w:szCs w:val="32"/>
          <w:lang w:val="en-US" w:eastAsia="zh-CN" w:bidi="ar-SA"/>
        </w:rPr>
        <w:t xml:space="preserve"> （10）铲刀长度 x 弦高：4877x686mm </w:t>
      </w:r>
    </w:p>
    <w:p>
      <w:pPr>
        <w:pStyle w:val="2"/>
        <w:rPr>
          <w:rFonts w:hint="eastAsia" w:asciiTheme="minorEastAsia" w:hAnsiTheme="minorEastAsia" w:eastAsiaTheme="minorEastAsia" w:cstheme="minorEastAsia"/>
          <w:color w:val="auto"/>
          <w:kern w:val="2"/>
          <w:sz w:val="32"/>
          <w:szCs w:val="32"/>
          <w:lang w:val="en-US" w:eastAsia="zh-CN" w:bidi="ar-SA"/>
        </w:rPr>
      </w:pPr>
    </w:p>
    <w:p>
      <w:pPr>
        <w:pStyle w:val="2"/>
        <w:rPr>
          <w:rFonts w:hint="default" w:asciiTheme="minorEastAsia" w:hAnsiTheme="minorEastAsia" w:eastAsiaTheme="minorEastAsia" w:cstheme="minorEastAsia"/>
          <w:color w:val="auto"/>
          <w:kern w:val="2"/>
          <w:sz w:val="32"/>
          <w:szCs w:val="32"/>
          <w:lang w:val="en-US" w:eastAsia="zh-CN" w:bidi="ar-SA"/>
        </w:rPr>
      </w:pPr>
    </w:p>
    <w:p>
      <w:pPr>
        <w:pStyle w:val="2"/>
        <w:rPr>
          <w:rFonts w:hint="default"/>
          <w:lang w:val="en-US" w:eastAsia="zh-CN"/>
        </w:rPr>
      </w:pPr>
    </w:p>
    <w:p>
      <w:pPr>
        <w:keepNext w:val="0"/>
        <w:keepLines w:val="0"/>
        <w:widowControl/>
        <w:numPr>
          <w:ilvl w:val="0"/>
          <w:numId w:val="0"/>
        </w:numPr>
        <w:suppressLineNumbers w:val="0"/>
        <w:jc w:val="left"/>
        <w:rPr>
          <w:rFonts w:hint="eastAsia" w:asciiTheme="minorEastAsia" w:hAnsiTheme="minorEastAsia" w:eastAsiaTheme="minorEastAsia" w:cstheme="minorEastAsia"/>
          <w:color w:val="auto"/>
          <w:sz w:val="32"/>
          <w:szCs w:val="32"/>
          <w:lang w:val="en-US" w:eastAsia="zh-CN"/>
        </w:rPr>
      </w:pPr>
    </w:p>
    <w:p>
      <w:pPr>
        <w:pStyle w:val="2"/>
        <w:numPr>
          <w:ilvl w:val="0"/>
          <w:numId w:val="0"/>
        </w:numPr>
        <w:rPr>
          <w:rFonts w:hint="eastAsia"/>
          <w:color w:val="auto"/>
          <w:sz w:val="32"/>
          <w:szCs w:val="32"/>
          <w:lang w:val="en-US" w:eastAsia="zh-CN"/>
        </w:rPr>
      </w:pPr>
    </w:p>
    <w:p>
      <w:pPr>
        <w:keepNext w:val="0"/>
        <w:keepLines w:val="0"/>
        <w:widowControl/>
        <w:suppressLineNumbers w:val="0"/>
        <w:jc w:val="left"/>
        <w:rPr>
          <w:color w:val="auto"/>
        </w:rPr>
      </w:pPr>
    </w:p>
    <w:p>
      <w:pPr>
        <w:pStyle w:val="8"/>
        <w:ind w:left="0" w:leftChars="0" w:firstLine="640" w:firstLineChars="200"/>
        <w:rPr>
          <w:rFonts w:hint="eastAsia" w:asciiTheme="minorEastAsia" w:hAnsiTheme="minorEastAsia" w:eastAsiaTheme="minorEastAsia" w:cstheme="minorEastAsia"/>
          <w:color w:val="FF0000"/>
          <w:sz w:val="32"/>
          <w:szCs w:val="32"/>
          <w:lang w:val="en-US" w:eastAsia="zh-CN"/>
        </w:rPr>
      </w:pPr>
    </w:p>
    <w:p>
      <w:pPr>
        <w:pStyle w:val="8"/>
        <w:numPr>
          <w:ilvl w:val="0"/>
          <w:numId w:val="0"/>
        </w:numPr>
        <w:ind w:left="630" w:left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三、基本要求：</w:t>
      </w:r>
    </w:p>
    <w:p>
      <w:pPr>
        <w:pStyle w:val="8"/>
        <w:ind w:left="0" w:leftChars="0"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（一）动力传动系统</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（1）平地机配置进口康明斯 QSM 11 发动机，水冷、涡轮增压，功率储备大，油耗低、噪音小，排放满足欧Ⅲ要求。基本参数和技术条件符合 JB/T4198.1《工程机械用柴油机 技术条件》的相关规定。运行安全技术符合 JB8890《往复式内燃机安全要求》的要求。</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（2）传动系统配置德国 ZF 6WG310 可闭锁液力机械变速箱，档位前 6 后 3。带有闭锁功能的液力变速箱在闭锁状态下相当于机械传动，传动效率高，可以用于轻载或行驶状态，工作效率高；解锁状态相当于液力机械传动，能够适应较大的负载冲击，适用于重载工作状态。</w:t>
      </w:r>
    </w:p>
    <w:p>
      <w:pPr>
        <w:pStyle w:val="8"/>
        <w:ind w:left="0" w:leftChars="0"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（二）工作装置</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工作装置是平地机的核心工作部件。应对矿用重载工况，开发具有过载保护的摩擦片式涡轮箱，受冲击时可自动滑转，保护机器和人身的安全；大模数高耐磨回转齿圈，保证高强度恶劣工况下回转齿圈仍能长时间正常工作；对导轨进行热处理，增加表面硬度满足矿用多尘多土工况；铲刀材质为耐磨合金材质，最大铲土深度660mm，对铲刀弧形进行优化，改善工作过程中铲掘及翻土情况，增加排土功能。</w:t>
      </w:r>
    </w:p>
    <w:p>
      <w:pPr>
        <w:pStyle w:val="8"/>
        <w:ind w:left="0" w:leftChars="0"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（三）液压系统</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整车液压系统符合 GB/T3766《液压系统通用技术条件》和 GB/T7935《液压元件 通用技术条件》的规定。关键液压元件，如柱塞泵、多路阀、回转马达均为国际知名企业的产品，性能可靠，反应灵敏。</w:t>
      </w:r>
    </w:p>
    <w:p>
      <w:pPr>
        <w:pStyle w:val="8"/>
        <w:ind w:left="0" w:leftChars="0"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 xml:space="preserve">（四）电气系统 </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该机电气系统包括电源、起动回路、仪表照明、控制回路和其他仪器仪表设备；配置可背光显示的组合仪表，整机参数实时显示，包括发动机水温、转速、电压等，以及机油压力、温度、充电等报警提示信息。可以随时提供保养和维修信息以及发动机的工作状态，避免设备“带病”作业，控制按钮、开关动作准确、灵敏、可靠。工作区域配置 6 个 LED 密封照明灯，亮度高，寿命长；后组合灯 LED 密封，有效防止灰尘的进入，驾驶室前部、顶部、后部加装3个示警灯，夜间作业时可起到警示作用</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电气系统为集成化控制形式，把仪表箱内分散组装的继电器、熔断器等集成排布，减少导线数量，线路进行科学编码设计，实现故障集中检测。</w:t>
      </w:r>
    </w:p>
    <w:p>
      <w:pPr>
        <w:pStyle w:val="8"/>
        <w:ind w:left="0" w:leftChars="0"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（五）操纵系统及驾驶室</w:t>
      </w:r>
    </w:p>
    <w:p>
      <w:pPr>
        <w:pStyle w:val="8"/>
        <w:ind w:left="0" w:leftChars="0"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（1）操纵系统</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采用电控双手柄操纵，大幅减少平地机操纵的疲劳程度，增加舒适性，加装防疲劳驾驶系统，以防操作人员因疲劳驾驶发生事故，根据人机工程学原理，将各种仪表、指示器都集中在操纵台上的组合仪表上，并可夜间背光显示。操纵台可以通过手柄调节至机手舒适的位置并固定。平地机的操纵杆、脚踏板等的布置均满足 GB/T21935 操纵舒适区及可及范围，满足人机工程，提升驾驶舒适性。 </w:t>
      </w:r>
    </w:p>
    <w:p>
      <w:pPr>
        <w:pStyle w:val="8"/>
        <w:ind w:left="0" w:leftChars="0"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 xml:space="preserve">（2）驾驶室 </w:t>
      </w:r>
    </w:p>
    <w:p>
      <w:pPr>
        <w:pStyle w:val="8"/>
        <w:ind w:left="0" w:leftChars="0" w:firstLine="640" w:firstLineChars="200"/>
        <w:rPr>
          <w:rFonts w:hint="eastAsia" w:asciiTheme="minorEastAsia" w:hAnsiTheme="minorEastAsia" w:eastAsiaTheme="minorEastAsia" w:cstheme="minorEastAsia"/>
          <w:color w:val="FF0000"/>
          <w:sz w:val="32"/>
          <w:szCs w:val="32"/>
          <w:lang w:val="en-US" w:eastAsia="zh-CN"/>
        </w:rPr>
      </w:pPr>
      <w:r>
        <w:rPr>
          <w:rFonts w:hint="eastAsia" w:asciiTheme="minorEastAsia" w:hAnsiTheme="minorEastAsia" w:eastAsiaTheme="minorEastAsia" w:cstheme="minorEastAsia"/>
          <w:color w:val="auto"/>
          <w:sz w:val="32"/>
          <w:szCs w:val="32"/>
          <w:lang w:val="en-US" w:eastAsia="zh-CN"/>
        </w:rPr>
        <w:t xml:space="preserve">采用独特的全封闭菱形驾驶室，密封性能好，视野佳，配备收录机、逃生锤等设备、并配置悬浮式座椅，内部空间大并配装大面积玻璃，视野开阔，配置冷暖空调及立体全方位风道，为驾驶员提供了安全舒适的操作环境。驾驶室强化骨架结构，FOPS&amp;ROPS，以人性化为出发点，以功能为主，以人为本，考虑平地机的工作环境，造型以流线行元素为主，功能操纵区符合人机工程学的原理。司机视野符合 GB/T16937.1《土方机械司机视野准则》的相关规定。 </w:t>
      </w:r>
    </w:p>
    <w:p>
      <w:pPr>
        <w:pStyle w:val="8"/>
        <w:numPr>
          <w:ilvl w:val="0"/>
          <w:numId w:val="0"/>
        </w:numP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四．其他或环境要求：</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速度感应转向系统，随着行驶速度增加使转向灵敏度降低，从而增加转向控制力和安全性；辅助转向，档转向压力下降时，自动结合电动泵，使操作员能够安全地将机器驶向停机位置；湿式制动，增加制动扭矩，并配置制动蓄能器，制动效果更可靠，使用寿命更长；液压锁止，避免车辆在转场、高速行驶时液压机具的误操作；地面断路开关，地面位置即可实现发动机熄火、整车断电，无需上车操作；配置通道、平台和扶手，改善人员进入驾驶室、检修设备的安全性；倒车影像，有效减少了后视野盲区，提高安全性；选配 360°全景影像，实现整车周边区域的无缝拼接，保障设备启动、停机时的安全性；配置自动灭火系统，车辆发生火灾事故时可自动启动进行灭火，避免造成人员和车辆遭受重大火灾损失。配置维修平台、后松土器、燃油加热器、液压拔销。</w:t>
      </w:r>
    </w:p>
    <w:p>
      <w:pPr>
        <w:pStyle w:val="8"/>
        <w:ind w:left="0" w:leftChars="0" w:firstLine="420" w:firstLineChars="200"/>
        <w:rPr>
          <w:rFonts w:hint="eastAsia" w:asciiTheme="minorEastAsia" w:hAnsiTheme="minorEastAsia" w:eastAsiaTheme="minorEastAsia" w:cstheme="minorEastAsia"/>
          <w:color w:val="auto"/>
          <w:sz w:val="21"/>
          <w:szCs w:val="21"/>
          <w:lang w:val="en-US" w:eastAsia="zh-CN"/>
        </w:rPr>
      </w:pPr>
    </w:p>
    <w:p>
      <w:pPr>
        <w:spacing w:line="360" w:lineRule="auto"/>
        <w:rPr>
          <w:rFonts w:ascii="宋体" w:hAnsi="宋体" w:cstheme="minorEastAsia"/>
          <w:color w:val="auto"/>
          <w:sz w:val="28"/>
          <w:szCs w:val="28"/>
        </w:rPr>
      </w:pPr>
      <w:r>
        <w:rPr>
          <w:rFonts w:hint="eastAsia" w:ascii="宋体" w:hAnsi="宋体" w:cstheme="minorEastAsia"/>
          <w:b/>
          <w:bCs/>
          <w:color w:val="auto"/>
          <w:sz w:val="28"/>
          <w:szCs w:val="28"/>
        </w:rPr>
        <w:t>五、</w:t>
      </w:r>
      <w:r>
        <w:rPr>
          <w:rFonts w:hint="eastAsia" w:asciiTheme="minorEastAsia" w:hAnsiTheme="minorEastAsia" w:eastAsiaTheme="minorEastAsia" w:cstheme="minorEastAsia"/>
          <w:b/>
          <w:bCs/>
          <w:color w:val="auto"/>
          <w:sz w:val="32"/>
          <w:szCs w:val="32"/>
          <w:lang w:val="en-US" w:eastAsia="zh-CN"/>
        </w:rPr>
        <w:t>质量保证、付款方式及售后：</w:t>
      </w:r>
    </w:p>
    <w:p>
      <w:pPr>
        <w:shd w:val="clear" w:color="auto" w:fill="FFFFFF"/>
        <w:spacing w:line="360" w:lineRule="auto"/>
        <w:ind w:firstLine="640" w:firstLineChars="200"/>
        <w:jc w:val="left"/>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kern w:val="2"/>
          <w:sz w:val="32"/>
          <w:szCs w:val="32"/>
          <w:lang w:val="en-US" w:eastAsia="zh-CN" w:bidi="ar-SA"/>
        </w:rPr>
        <w:t>1、厂家需免费提供说明书、技术资料、产品合格证（或报关单复印件）各一份。</w:t>
      </w:r>
    </w:p>
    <w:p>
      <w:pPr>
        <w:spacing w:line="360" w:lineRule="auto"/>
        <w:ind w:firstLine="640" w:firstLineChars="200"/>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kern w:val="2"/>
          <w:sz w:val="32"/>
          <w:szCs w:val="32"/>
          <w:lang w:val="en-US" w:eastAsia="zh-CN" w:bidi="ar-SA"/>
        </w:rPr>
        <w:t>2、质量保证期限：自到货验收合格日起一年</w:t>
      </w:r>
    </w:p>
    <w:p>
      <w:pPr>
        <w:spacing w:line="360" w:lineRule="auto"/>
        <w:ind w:firstLine="640" w:firstLineChars="200"/>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kern w:val="2"/>
          <w:sz w:val="32"/>
          <w:szCs w:val="32"/>
          <w:lang w:val="en-US" w:eastAsia="zh-CN" w:bidi="ar-SA"/>
        </w:rPr>
        <w:t>3、厂家须提供免费调试服务以及免费提供调试所需的低值易耗材料。调试时间使用方须提前5日通知厂家。</w:t>
      </w:r>
    </w:p>
    <w:p>
      <w:pPr>
        <w:spacing w:line="360" w:lineRule="auto"/>
        <w:ind w:firstLine="640" w:firstLineChars="200"/>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kern w:val="2"/>
          <w:sz w:val="32"/>
          <w:szCs w:val="32"/>
          <w:lang w:val="en-US" w:eastAsia="zh-CN" w:bidi="ar-SA"/>
        </w:rPr>
        <w:t>4、质量保证期内实行“三包”，质量保证期内因设备自身质量问题而造成设备损坏或不能正常运行的，厂家应在24小时内免费维修，因使用方操作失误或人违损坏造成维修维护，使用方承担全部维修费用。质保期满后如使用方需要厂家继续服务，厂家愿意为使用方提供终身有偿服务。</w:t>
      </w:r>
    </w:p>
    <w:p>
      <w:pPr>
        <w:spacing w:line="360" w:lineRule="auto"/>
        <w:ind w:firstLine="640" w:firstLineChars="200"/>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kern w:val="2"/>
          <w:sz w:val="32"/>
          <w:szCs w:val="32"/>
          <w:lang w:val="en-US" w:eastAsia="zh-CN" w:bidi="ar-SA"/>
        </w:rPr>
        <w:t>5、保质期后，如使用方有必要请卖方人员到现场服务时，厂家人员应积极到现场服务。</w:t>
      </w:r>
    </w:p>
    <w:p>
      <w:pPr>
        <w:spacing w:line="360" w:lineRule="auto"/>
        <w:ind w:firstLine="640" w:firstLineChars="200"/>
        <w:rPr>
          <w:rFonts w:hint="default"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color w:val="auto"/>
          <w:kern w:val="2"/>
          <w:sz w:val="32"/>
          <w:szCs w:val="32"/>
          <w:lang w:val="en-US" w:eastAsia="zh-CN" w:bidi="ar-SA"/>
        </w:rPr>
        <w:t>6、付款方式以商务合同为主。</w:t>
      </w:r>
    </w:p>
    <w:p>
      <w:pPr>
        <w:shd w:val="clear" w:color="auto" w:fill="FFFFFF"/>
        <w:spacing w:line="360" w:lineRule="auto"/>
        <w:ind w:firstLine="210" w:firstLineChars="100"/>
        <w:jc w:val="left"/>
        <w:rPr>
          <w:rFonts w:hint="eastAsia" w:ascii="宋体" w:hAnsi="宋体" w:cstheme="minorEastAsia"/>
          <w:sz w:val="21"/>
          <w:szCs w:val="21"/>
        </w:rPr>
      </w:pPr>
      <w:r>
        <w:rPr>
          <w:rFonts w:hint="eastAsia" w:ascii="宋体" w:hAnsi="宋体" w:cstheme="minorEastAsia"/>
          <w:sz w:val="21"/>
          <w:szCs w:val="21"/>
        </w:rPr>
        <w:t>（以下空白，无正文）</w:t>
      </w:r>
    </w:p>
    <w:p>
      <w:pPr>
        <w:pStyle w:val="8"/>
        <w:numPr>
          <w:ilvl w:val="0"/>
          <w:numId w:val="0"/>
        </w:numPr>
        <w:ind w:leftChars="200"/>
        <w:rPr>
          <w:rFonts w:hint="eastAsia" w:asciiTheme="minorEastAsia" w:hAnsiTheme="minorEastAsia" w:eastAsiaTheme="minorEastAsia" w:cstheme="minorEastAsia"/>
          <w:sz w:val="21"/>
          <w:szCs w:val="21"/>
          <w:lang w:val="en-US" w:eastAsia="zh-CN"/>
        </w:rPr>
      </w:pPr>
    </w:p>
    <w:p>
      <w:pPr>
        <w:pStyle w:val="8"/>
        <w:numPr>
          <w:ilvl w:val="0"/>
          <w:numId w:val="0"/>
        </w:numPr>
        <w:ind w:leftChars="200"/>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3253" w:firstLineChars="900"/>
        <w:jc w:val="both"/>
        <w:textAlignment w:val="auto"/>
        <w:rPr>
          <w:rFonts w:hint="eastAsia" w:asciiTheme="majorEastAsia" w:hAnsiTheme="majorEastAsia" w:eastAsiaTheme="majorEastAsia" w:cstheme="majorEastAsia"/>
          <w:b/>
          <w:bCs w:val="0"/>
          <w:sz w:val="36"/>
          <w:szCs w:val="36"/>
        </w:rPr>
      </w:pPr>
      <w:bookmarkStart w:id="0" w:name="_GoBack"/>
      <w:bookmarkEnd w:id="0"/>
      <w:r>
        <w:rPr>
          <w:rFonts w:hint="eastAsia" w:asciiTheme="majorEastAsia" w:hAnsiTheme="majorEastAsia" w:eastAsiaTheme="majorEastAsia" w:cstheme="majorEastAsia"/>
          <w:b/>
          <w:bCs w:val="0"/>
          <w:sz w:val="36"/>
          <w:szCs w:val="36"/>
        </w:rPr>
        <w:t>签</w:t>
      </w:r>
      <w:r>
        <w:rPr>
          <w:rFonts w:hint="eastAsia" w:asciiTheme="majorEastAsia" w:hAnsiTheme="majorEastAsia" w:eastAsiaTheme="majorEastAsia" w:cstheme="majorEastAsia"/>
          <w:b/>
          <w:bCs w:val="0"/>
          <w:sz w:val="36"/>
          <w:szCs w:val="36"/>
          <w:lang w:val="en-US" w:eastAsia="zh-CN"/>
        </w:rPr>
        <w:t xml:space="preserve"> </w:t>
      </w:r>
      <w:r>
        <w:rPr>
          <w:rFonts w:hint="eastAsia" w:asciiTheme="majorEastAsia" w:hAnsiTheme="majorEastAsia" w:eastAsiaTheme="majorEastAsia" w:cstheme="majorEastAsia"/>
          <w:b/>
          <w:bCs w:val="0"/>
          <w:sz w:val="36"/>
          <w:szCs w:val="36"/>
        </w:rPr>
        <w:t>字</w:t>
      </w:r>
      <w:r>
        <w:rPr>
          <w:rFonts w:hint="eastAsia" w:asciiTheme="majorEastAsia" w:hAnsiTheme="majorEastAsia" w:eastAsiaTheme="majorEastAsia" w:cstheme="majorEastAsia"/>
          <w:b/>
          <w:bCs w:val="0"/>
          <w:sz w:val="36"/>
          <w:szCs w:val="36"/>
          <w:lang w:val="en-US" w:eastAsia="zh-CN"/>
        </w:rPr>
        <w:t xml:space="preserve"> 审 批 </w:t>
      </w:r>
      <w:r>
        <w:rPr>
          <w:rFonts w:hint="eastAsia" w:asciiTheme="majorEastAsia" w:hAnsiTheme="majorEastAsia" w:eastAsiaTheme="majorEastAsia" w:cstheme="majorEastAsia"/>
          <w:b/>
          <w:bCs w:val="0"/>
          <w:sz w:val="36"/>
          <w:szCs w:val="36"/>
        </w:rPr>
        <w:t>页</w:t>
      </w:r>
    </w:p>
    <w:p>
      <w:pPr>
        <w:pStyle w:val="2"/>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lang w:val="en-US" w:eastAsia="zh-CN"/>
        </w:rPr>
        <w:t>使用方（章）：</w:t>
      </w:r>
      <w:r>
        <w:rPr>
          <w:rFonts w:hint="eastAsia" w:asciiTheme="minorEastAsia" w:hAnsiTheme="minorEastAsia" w:eastAsiaTheme="minorEastAsia" w:cstheme="minorEastAsia"/>
          <w:bCs/>
          <w:color w:val="auto"/>
          <w:sz w:val="32"/>
          <w:szCs w:val="32"/>
        </w:rPr>
        <w:t xml:space="preserve"> </w:t>
      </w:r>
      <w:r>
        <w:rPr>
          <w:rFonts w:hint="eastAsia" w:asciiTheme="minorEastAsia" w:hAnsiTheme="minorEastAsia" w:eastAsiaTheme="minorEastAsia" w:cstheme="minorEastAsia"/>
          <w:color w:val="auto"/>
          <w:sz w:val="32"/>
          <w:szCs w:val="32"/>
          <w:lang w:val="en-US" w:eastAsia="zh-CN"/>
        </w:rPr>
        <w:t>内蒙古神东天隆集团股份有限公司武家塔露天煤矿</w:t>
      </w:r>
      <w:r>
        <w:rPr>
          <w:rFonts w:hint="eastAsia" w:asciiTheme="minorEastAsia" w:hAnsiTheme="minorEastAsia" w:eastAsiaTheme="minorEastAsia" w:cstheme="minorEastAsia"/>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审核方（章）：内蒙古神东天隆集团股份有限公司机电动力部</w:t>
      </w:r>
    </w:p>
    <w:p>
      <w:pPr>
        <w:pStyle w:val="2"/>
        <w:ind w:left="0" w:leftChars="0" w:firstLine="0" w:firstLineChars="0"/>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pStyle w:val="8"/>
        <w:numPr>
          <w:ilvl w:val="0"/>
          <w:numId w:val="0"/>
        </w:num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sectPr>
      <w:footerReference r:id="rId4"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NGIwZDM3ZDBkZTllNTMxN2FkZWY5ZmFlMjU2N2UifQ=="/>
  </w:docVars>
  <w:rsids>
    <w:rsidRoot w:val="29FF6835"/>
    <w:rsid w:val="004325CA"/>
    <w:rsid w:val="02131202"/>
    <w:rsid w:val="02891B0A"/>
    <w:rsid w:val="05D94258"/>
    <w:rsid w:val="06DC4E0C"/>
    <w:rsid w:val="0C375722"/>
    <w:rsid w:val="0CF207C0"/>
    <w:rsid w:val="13801944"/>
    <w:rsid w:val="141E5AF2"/>
    <w:rsid w:val="14B8719C"/>
    <w:rsid w:val="160A411E"/>
    <w:rsid w:val="1A370F9C"/>
    <w:rsid w:val="1B915FA6"/>
    <w:rsid w:val="1C5E4557"/>
    <w:rsid w:val="20740FE3"/>
    <w:rsid w:val="23851FDE"/>
    <w:rsid w:val="255551ED"/>
    <w:rsid w:val="25796A42"/>
    <w:rsid w:val="26F61189"/>
    <w:rsid w:val="27897907"/>
    <w:rsid w:val="29FF6835"/>
    <w:rsid w:val="2CC9315A"/>
    <w:rsid w:val="2D3E2F42"/>
    <w:rsid w:val="2EF41E90"/>
    <w:rsid w:val="2FAE4C0E"/>
    <w:rsid w:val="317433D6"/>
    <w:rsid w:val="33016EEC"/>
    <w:rsid w:val="3393044E"/>
    <w:rsid w:val="33DC0139"/>
    <w:rsid w:val="36540E1A"/>
    <w:rsid w:val="36834EB8"/>
    <w:rsid w:val="37644BC8"/>
    <w:rsid w:val="382D2B39"/>
    <w:rsid w:val="3ACD0B7D"/>
    <w:rsid w:val="3AEC4CA4"/>
    <w:rsid w:val="3B0B5196"/>
    <w:rsid w:val="3D152E00"/>
    <w:rsid w:val="3D1B7F59"/>
    <w:rsid w:val="3D31661F"/>
    <w:rsid w:val="45663E1E"/>
    <w:rsid w:val="482A014A"/>
    <w:rsid w:val="49AB7F2B"/>
    <w:rsid w:val="4A7D14CC"/>
    <w:rsid w:val="4DB56D82"/>
    <w:rsid w:val="4EC860F9"/>
    <w:rsid w:val="503F0B05"/>
    <w:rsid w:val="50401142"/>
    <w:rsid w:val="5132776C"/>
    <w:rsid w:val="514813E1"/>
    <w:rsid w:val="51B9020E"/>
    <w:rsid w:val="51BD6F7E"/>
    <w:rsid w:val="53414FDE"/>
    <w:rsid w:val="546B234F"/>
    <w:rsid w:val="54834F43"/>
    <w:rsid w:val="549E2395"/>
    <w:rsid w:val="564C437D"/>
    <w:rsid w:val="5705371C"/>
    <w:rsid w:val="58405511"/>
    <w:rsid w:val="59A606BD"/>
    <w:rsid w:val="5C02161D"/>
    <w:rsid w:val="5E536AE0"/>
    <w:rsid w:val="607C7CFC"/>
    <w:rsid w:val="61252F6F"/>
    <w:rsid w:val="61523C18"/>
    <w:rsid w:val="61EE5FDE"/>
    <w:rsid w:val="62C5556D"/>
    <w:rsid w:val="64323A44"/>
    <w:rsid w:val="65254660"/>
    <w:rsid w:val="67194487"/>
    <w:rsid w:val="696A6892"/>
    <w:rsid w:val="6F312BDD"/>
    <w:rsid w:val="6F832437"/>
    <w:rsid w:val="702E2C78"/>
    <w:rsid w:val="75A42A23"/>
    <w:rsid w:val="760E47BF"/>
    <w:rsid w:val="764364A0"/>
    <w:rsid w:val="77002ACC"/>
    <w:rsid w:val="784A453D"/>
    <w:rsid w:val="78531D96"/>
    <w:rsid w:val="7A272013"/>
    <w:rsid w:val="7BFC372A"/>
    <w:rsid w:val="7C000F1B"/>
    <w:rsid w:val="7C10151B"/>
    <w:rsid w:val="7CC41E16"/>
    <w:rsid w:val="7DA1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4"/>
    <w:qFormat/>
    <w:uiPriority w:val="0"/>
    <w:pPr>
      <w:ind w:firstLine="420" w:firstLineChars="200"/>
    </w:pPr>
  </w:style>
  <w:style w:type="character" w:styleId="11">
    <w:name w:val="Strong"/>
    <w:qFormat/>
    <w:uiPriority w:val="20"/>
    <w:rPr>
      <w:b/>
      <w:w w:val="100"/>
      <w:sz w:val="21"/>
      <w:szCs w:val="21"/>
      <w:shd w:val="clear" w:color="auto" w:fill="auto"/>
    </w:rPr>
  </w:style>
  <w:style w:type="paragraph" w:styleId="12">
    <w:name w:val="No Spacing"/>
    <w:qFormat/>
    <w:uiPriority w:val="99"/>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正文"/>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2244</Words>
  <Characters>2435</Characters>
  <Lines>0</Lines>
  <Paragraphs>0</Paragraphs>
  <TotalTime>0</TotalTime>
  <ScaleCrop>false</ScaleCrop>
  <LinksUpToDate>false</LinksUpToDate>
  <CharactersWithSpaces>2641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龍</cp:lastModifiedBy>
  <cp:lastPrinted>2021-08-31T08:49:00Z</cp:lastPrinted>
  <dcterms:modified xsi:type="dcterms:W3CDTF">2022-06-30T01:46:13Z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1B7CEB7870E2454A879AC3343CEA583A</vt:lpwstr>
  </property>
</Properties>
</file>