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color w:val="0000FF"/>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auto"/>
          <w:sz w:val="32"/>
          <w:szCs w:val="32"/>
          <w:lang w:val="en-US" w:eastAsia="zh-CN"/>
        </w:rPr>
        <w:t>HLW-2022-ZX-</w:t>
      </w:r>
      <w:r>
        <w:rPr>
          <w:rFonts w:hint="eastAsia" w:ascii="黑体" w:hAnsi="黑体" w:eastAsia="黑体" w:cs="黑体"/>
          <w:b/>
          <w:bCs/>
          <w:color w:val="0000FF"/>
          <w:sz w:val="32"/>
          <w:szCs w:val="32"/>
          <w:lang w:val="en-US" w:eastAsia="zh-CN"/>
        </w:rPr>
        <w:t>055</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p>
    <w:p>
      <w:pPr>
        <w:ind w:left="420"/>
        <w:jc w:val="center"/>
        <w:rPr>
          <w:rFonts w:hint="eastAsia" w:ascii="宋体" w:hAnsi="宋体"/>
          <w:b/>
          <w:bCs w:val="0"/>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内蒙古</w:t>
      </w:r>
      <w:r>
        <w:rPr>
          <w:rFonts w:hint="eastAsia" w:ascii="宋体" w:hAnsi="宋体" w:eastAsia="宋体" w:cs="宋体"/>
          <w:b/>
          <w:bCs/>
          <w:sz w:val="44"/>
          <w:szCs w:val="44"/>
          <w:lang w:eastAsia="zh-CN"/>
        </w:rPr>
        <w:t>神东天隆集团</w:t>
      </w:r>
      <w:r>
        <w:rPr>
          <w:rFonts w:hint="eastAsia" w:ascii="宋体" w:hAnsi="宋体" w:eastAsia="宋体" w:cs="宋体"/>
          <w:b/>
          <w:bCs/>
          <w:sz w:val="44"/>
          <w:szCs w:val="44"/>
          <w:lang w:val="en-US" w:eastAsia="zh-CN"/>
        </w:rPr>
        <w:t>股份</w:t>
      </w:r>
      <w:r>
        <w:rPr>
          <w:rFonts w:hint="eastAsia" w:ascii="宋体" w:hAnsi="宋体" w:eastAsia="宋体" w:cs="宋体"/>
          <w:b/>
          <w:bCs/>
          <w:sz w:val="44"/>
          <w:szCs w:val="44"/>
          <w:lang w:eastAsia="zh-CN"/>
        </w:rPr>
        <w:t>有限公司</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霍洛湾煤矿</w:t>
      </w:r>
    </w:p>
    <w:p>
      <w:pPr>
        <w:jc w:val="center"/>
        <w:rPr>
          <w:rFonts w:hint="default" w:ascii="宋体" w:hAnsi="宋体" w:eastAsia="宋体" w:cs="宋体"/>
          <w:b/>
          <w:bCs/>
          <w:w w:val="80"/>
          <w:sz w:val="44"/>
          <w:szCs w:val="44"/>
          <w:lang w:val="en-US" w:eastAsia="zh-CN"/>
        </w:rPr>
      </w:pPr>
      <w:r>
        <w:rPr>
          <w:rFonts w:hint="eastAsia" w:ascii="宋体" w:hAnsi="宋体" w:eastAsia="宋体" w:cs="宋体"/>
          <w:b/>
          <w:bCs/>
          <w:w w:val="80"/>
          <w:sz w:val="44"/>
          <w:szCs w:val="44"/>
          <w:lang w:val="en-US" w:eastAsia="zh-CN"/>
        </w:rPr>
        <w:t>关于购置</w:t>
      </w:r>
      <w:r>
        <w:rPr>
          <w:rFonts w:hint="eastAsia" w:ascii="宋体" w:hAnsi="宋体" w:cs="宋体"/>
          <w:b/>
          <w:bCs/>
          <w:w w:val="80"/>
          <w:sz w:val="44"/>
          <w:szCs w:val="44"/>
          <w:lang w:val="en-US" w:eastAsia="zh-CN"/>
        </w:rPr>
        <w:t>铠装电缆</w:t>
      </w: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宋体" w:hAnsi="宋体" w:eastAsia="宋体" w:cs="宋体"/>
          <w:b/>
          <w:sz w:val="32"/>
          <w:szCs w:val="21"/>
          <w:lang w:val="en-US" w:eastAsia="zh-CN"/>
        </w:rPr>
        <w:t xml:space="preserve">  </w:t>
      </w: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color w:val="auto"/>
          <w:sz w:val="32"/>
          <w:szCs w:val="21"/>
          <w:u w:val="none" w:color="auto"/>
        </w:rPr>
      </w:pPr>
      <w:r>
        <w:rPr>
          <w:rFonts w:ascii="宋体" w:hAnsi="宋体"/>
          <w:b w:val="0"/>
          <w:bCs/>
          <w:color w:val="auto"/>
          <w:sz w:val="32"/>
          <w:szCs w:val="21"/>
          <w:u w:val="none" w:color="auto"/>
        </w:rPr>
        <w:t>20</w:t>
      </w:r>
      <w:r>
        <w:rPr>
          <w:rFonts w:hint="eastAsia" w:ascii="宋体" w:hAnsi="宋体"/>
          <w:b w:val="0"/>
          <w:bCs/>
          <w:color w:val="auto"/>
          <w:sz w:val="32"/>
          <w:szCs w:val="21"/>
          <w:u w:val="none" w:color="auto"/>
          <w:lang w:val="en-US" w:eastAsia="zh-CN"/>
        </w:rPr>
        <w:t>22</w:t>
      </w:r>
      <w:r>
        <w:rPr>
          <w:rFonts w:ascii="宋体" w:hAnsi="宋体"/>
          <w:b w:val="0"/>
          <w:bCs/>
          <w:color w:val="auto"/>
          <w:sz w:val="32"/>
          <w:szCs w:val="21"/>
          <w:u w:val="none" w:color="auto"/>
        </w:rPr>
        <w:t>年</w:t>
      </w:r>
      <w:r>
        <w:rPr>
          <w:rFonts w:hint="eastAsia" w:ascii="宋体" w:hAnsi="宋体"/>
          <w:b w:val="0"/>
          <w:bCs/>
          <w:color w:val="auto"/>
          <w:sz w:val="32"/>
          <w:szCs w:val="21"/>
          <w:u w:val="none" w:color="auto"/>
          <w:lang w:val="en-US" w:eastAsia="zh-CN"/>
        </w:rPr>
        <w:t>12</w:t>
      </w:r>
      <w:r>
        <w:rPr>
          <w:rFonts w:ascii="宋体" w:hAnsi="宋体"/>
          <w:b w:val="0"/>
          <w:bCs/>
          <w:color w:val="auto"/>
          <w:sz w:val="32"/>
          <w:szCs w:val="21"/>
          <w:u w:val="none" w:color="auto"/>
        </w:rPr>
        <w:t>月</w:t>
      </w:r>
      <w:r>
        <w:rPr>
          <w:rFonts w:hint="eastAsia" w:ascii="宋体" w:hAnsi="宋体"/>
          <w:b w:val="0"/>
          <w:bCs/>
          <w:color w:val="auto"/>
          <w:sz w:val="32"/>
          <w:szCs w:val="21"/>
          <w:u w:val="none" w:color="auto"/>
          <w:lang w:val="en-US" w:eastAsia="zh-CN"/>
        </w:rPr>
        <w:t>1</w:t>
      </w:r>
      <w:r>
        <w:rPr>
          <w:rFonts w:ascii="宋体" w:hAnsi="宋体"/>
          <w:b w:val="0"/>
          <w:bCs/>
          <w:color w:val="auto"/>
          <w:sz w:val="32"/>
          <w:szCs w:val="21"/>
          <w:u w:val="none" w:color="auto"/>
        </w:rPr>
        <w:t>日</w:t>
      </w:r>
    </w:p>
    <w:p>
      <w:pPr>
        <w:jc w:val="both"/>
        <w:rPr>
          <w:rFonts w:hint="eastAsia"/>
          <w:sz w:val="32"/>
          <w:szCs w:val="32"/>
          <w:lang w:val="en-US" w:eastAsia="zh-CN"/>
        </w:rPr>
      </w:pP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FF0000"/>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HLW-2022-ZX-055</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lang w:val="en-US" w:eastAsia="zh-CN"/>
        </w:rPr>
        <w:t>技 术 要 求</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32"/>
          <w:szCs w:val="32"/>
          <w:lang w:val="en-US" w:eastAsia="zh-CN"/>
        </w:rPr>
        <w:t>审核方：内蒙古神东天隆集团股份有限公司机电动力部</w:t>
      </w:r>
      <w:r>
        <w:rPr>
          <w:rFonts w:hint="eastAsia" w:asciiTheme="minorEastAsia" w:hAnsiTheme="minorEastAsia" w:eastAsiaTheme="minorEastAsia" w:cstheme="minorEastAsia"/>
          <w:color w:val="000000"/>
          <w:szCs w:val="21"/>
        </w:rPr>
        <w:t xml:space="preserve">               </w:t>
      </w:r>
    </w:p>
    <w:p>
      <w:pPr>
        <w:pStyle w:val="12"/>
        <w:ind w:left="0" w:leftChars="0" w:firstLine="643"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一、基本信息：</w:t>
      </w:r>
    </w:p>
    <w:tbl>
      <w:tblPr>
        <w:tblStyle w:val="10"/>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780"/>
        <w:gridCol w:w="1350"/>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noWrap w:val="0"/>
            <w:vAlign w:val="center"/>
          </w:tcPr>
          <w:p>
            <w:pPr>
              <w:ind w:right="-63" w:rightChars="-30"/>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名称</w:t>
            </w:r>
          </w:p>
        </w:tc>
        <w:tc>
          <w:tcPr>
            <w:tcW w:w="228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规格型号</w:t>
            </w:r>
          </w:p>
        </w:tc>
        <w:tc>
          <w:tcPr>
            <w:tcW w:w="550"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单</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位</w:t>
            </w:r>
          </w:p>
        </w:tc>
        <w:tc>
          <w:tcPr>
            <w:tcW w:w="780"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数</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量</w:t>
            </w:r>
          </w:p>
        </w:tc>
        <w:tc>
          <w:tcPr>
            <w:tcW w:w="1350"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资金来源</w:t>
            </w:r>
          </w:p>
        </w:tc>
        <w:tc>
          <w:tcPr>
            <w:tcW w:w="253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交（提）货</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rPr>
            </w:pPr>
            <w:r>
              <w:rPr>
                <w:rFonts w:hint="eastAsia" w:asciiTheme="minorEastAsia" w:hAnsiTheme="minorEastAsia" w:eastAsiaTheme="minorEastAsia" w:cstheme="minorEastAsia"/>
                <w:b w:val="0"/>
                <w:bCs w:val="0"/>
                <w:color w:val="000000"/>
                <w:szCs w:val="21"/>
                <w:lang w:val="en-US" w:eastAsia="zh-CN"/>
              </w:rPr>
              <w:t>煤矿用粗钢丝交联铠装电力电缆</w:t>
            </w:r>
          </w:p>
        </w:tc>
        <w:tc>
          <w:tcPr>
            <w:tcW w:w="2287"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rPr>
            </w:pPr>
            <w:r>
              <w:rPr>
                <w:rFonts w:hint="eastAsia" w:asciiTheme="minorEastAsia" w:hAnsiTheme="minorEastAsia" w:eastAsiaTheme="minorEastAsia" w:cstheme="minorEastAsia"/>
                <w:b w:val="0"/>
                <w:bCs w:val="0"/>
                <w:color w:val="000000"/>
                <w:szCs w:val="21"/>
              </w:rPr>
              <w:t>MYJV42-8.7/10-3*</w:t>
            </w:r>
            <w:r>
              <w:rPr>
                <w:rFonts w:hint="eastAsia" w:asciiTheme="minorEastAsia" w:hAnsiTheme="minorEastAsia" w:eastAsiaTheme="minorEastAsia" w:cstheme="minorEastAsia"/>
                <w:b w:val="0"/>
                <w:bCs w:val="0"/>
                <w:color w:val="000000"/>
                <w:szCs w:val="21"/>
                <w:lang w:val="en-US" w:eastAsia="zh-CN"/>
              </w:rPr>
              <w:t>12</w:t>
            </w:r>
            <w:r>
              <w:rPr>
                <w:rFonts w:hint="eastAsia" w:asciiTheme="minorEastAsia" w:hAnsiTheme="minorEastAsia" w:eastAsiaTheme="minorEastAsia" w:cstheme="minorEastAsia"/>
                <w:b w:val="0"/>
                <w:bCs w:val="0"/>
                <w:color w:val="000000"/>
                <w:szCs w:val="21"/>
              </w:rPr>
              <w:t>0</w:t>
            </w:r>
          </w:p>
        </w:tc>
        <w:tc>
          <w:tcPr>
            <w:tcW w:w="550"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米</w:t>
            </w:r>
          </w:p>
        </w:tc>
        <w:tc>
          <w:tcPr>
            <w:tcW w:w="780"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1600</w:t>
            </w:r>
          </w:p>
        </w:tc>
        <w:tc>
          <w:tcPr>
            <w:tcW w:w="1350" w:type="dxa"/>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2022年专项</w:t>
            </w:r>
          </w:p>
        </w:tc>
        <w:tc>
          <w:tcPr>
            <w:tcW w:w="2537" w:type="dxa"/>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rPr>
            </w:pPr>
            <w:r>
              <w:rPr>
                <w:rFonts w:hint="eastAsia" w:asciiTheme="minorEastAsia" w:hAnsiTheme="minorEastAsia" w:eastAsiaTheme="minorEastAsia" w:cstheme="minorEastAsia"/>
                <w:b w:val="0"/>
                <w:bCs w:val="0"/>
                <w:color w:val="000000"/>
                <w:szCs w:val="21"/>
                <w:lang w:val="en-US" w:eastAsia="zh-CN"/>
              </w:rPr>
              <w:t>霍洛湾煤矿</w:t>
            </w:r>
          </w:p>
        </w:tc>
      </w:tr>
    </w:tbl>
    <w:p>
      <w:pPr>
        <w:rPr>
          <w:rFonts w:hint="eastAsia" w:asciiTheme="minorEastAsia" w:hAnsiTheme="minorEastAsia" w:eastAsiaTheme="minorEastAsia" w:cstheme="minorEastAsia"/>
          <w:vanish/>
        </w:rPr>
      </w:pPr>
    </w:p>
    <w:p>
      <w:pPr>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基本参数：</w:t>
      </w:r>
    </w:p>
    <w:p>
      <w:pPr>
        <w:pStyle w:val="9"/>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电压等级：8.7/10kV</w:t>
      </w:r>
    </w:p>
    <w:p>
      <w:pPr>
        <w:pStyle w:val="9"/>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基本要求：</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符合MT818-2009矿用电缆的相关标准，符合其它相关国家标准及行业标准。</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1、导体</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导体表面应光洁、无油污、无损伤屏蔽及绝缘的毛刺、锐边，无凸起或断裂的单线。导体应采用绞合圆形紧压线芯。20℃时导体直流电阻应符合GB/T3956规定。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2、导体屏蔽</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导体屏蔽为交联挤包半导电层，半导电层应均匀的包覆在导体上，表面应光滑，无明显绞线凸纹，不应有害尖角、颗粒、焦烧或擦伤的痕迹。</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3、绝缘</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绝缘标称厚度4.5mm，任一点最小厚度测量值应不小于标称值的90%-0.1mm。</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4、绝缘屏蔽</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绝缘屏蔽为交联挤包半导电层，半导电层应均匀地包覆在绝缘表面，表面应光滑，不得有尖角、颗粒、烧焦或擦伤的痕迹。</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5、金属屏蔽</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金属屏蔽形式及结构要求应符合MT818规定。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6、内衬层</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内衬层采用聚氯乙烯(PVC)料挤包，符合MT818的规定。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7、铠装</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铠装层结构应符合MT818的规定。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8、外护套</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外护套采用聚氯乙烯(PVC)料挤包，表面平整光滑，厚度符合MT818的规定。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护套表面应印有电缆型号、规格、厂名、制造年月和长度（米标）的标志，字迹清楚，容易辨认、耐擦。</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7、电缆主要性能指标</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913"/>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序号</w:t>
            </w:r>
          </w:p>
        </w:tc>
        <w:tc>
          <w:tcPr>
            <w:tcW w:w="14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项目</w:t>
            </w:r>
          </w:p>
        </w:tc>
        <w:tc>
          <w:tcPr>
            <w:tcW w:w="30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w:t>
            </w:r>
          </w:p>
        </w:tc>
        <w:tc>
          <w:tcPr>
            <w:tcW w:w="14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导体直流电阻（Ω/km）</w:t>
            </w:r>
          </w:p>
        </w:tc>
        <w:tc>
          <w:tcPr>
            <w:tcW w:w="30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符合GB/T3956的规定。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w:t>
            </w:r>
          </w:p>
        </w:tc>
        <w:tc>
          <w:tcPr>
            <w:tcW w:w="14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局部放电试验</w:t>
            </w:r>
          </w:p>
        </w:tc>
        <w:tc>
          <w:tcPr>
            <w:tcW w:w="30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无超过声明试验灵敏度的可检测到的放电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4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3</w:t>
            </w:r>
          </w:p>
        </w:tc>
        <w:tc>
          <w:tcPr>
            <w:tcW w:w="14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5min工频电压试验</w:t>
            </w:r>
          </w:p>
        </w:tc>
        <w:tc>
          <w:tcPr>
            <w:tcW w:w="30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12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工频试验电压应为3.5U0，持续5min，绝缘应无击穿</w:t>
            </w:r>
          </w:p>
        </w:tc>
      </w:tr>
    </w:tbl>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8、试验的方法和检验规则应符合相应标准要求。</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9、标志</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（1）成品电缆</w:t>
      </w:r>
      <w:r>
        <w:rPr>
          <w:rFonts w:hint="eastAsia" w:asciiTheme="minorEastAsia" w:hAnsiTheme="minorEastAsia" w:eastAsiaTheme="minorEastAsia" w:cstheme="minorEastAsia"/>
          <w:color w:val="auto"/>
          <w:sz w:val="32"/>
          <w:szCs w:val="32"/>
          <w:highlight w:val="none"/>
          <w:lang w:val="en-US" w:eastAsia="zh-CN"/>
        </w:rPr>
        <w:t>的护套表面应用颜色明显区别于护套颜色的油墨</w:t>
      </w:r>
      <w:r>
        <w:rPr>
          <w:rFonts w:hint="eastAsia" w:asciiTheme="minorEastAsia" w:hAnsiTheme="minorEastAsia" w:eastAsiaTheme="minorEastAsia" w:cstheme="minorEastAsia"/>
          <w:sz w:val="32"/>
          <w:szCs w:val="32"/>
          <w:highlight w:val="none"/>
          <w:lang w:val="en-US" w:eastAsia="zh-CN"/>
        </w:rPr>
        <w:t>印制产品标志。产品标志应包含以下内容：制造厂名称、电缆型号、规格、生产日期。印字必须清晰、耐擦，印字间隔不超过1m。（2）包装标志：每卷或每盘电缆上应附标签，标明如下内容：制造厂名称；产品型号及规格；长度（m）；制造年月或生产批号。</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10、包装、运输和贮存</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（1）包装</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电缆交货盘应符合JB/T8137规定。</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电缆应整齐卷绕在电缆交货盘上，电缆端头应紧密包封，伸出盘外的电缆端头应加装保护套，伸出的长度应不小于200mm，重量不超过80kg的短段电缆，允许成卷包装。</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成盘电缆的电缆盘外侧及成卷电缆的附加标签应与包装标志所列的内容一致，并于电缆盘上标明电缆盘正确的旋转方向。</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（2）运输和贮存</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电缆应避免在露天存放，电缆盘不允许平放。</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运输中应严禁从高处扔下装有电缆的电缆盘，严禁机械损伤电缆。</w:t>
      </w:r>
    </w:p>
    <w:p>
      <w:pPr>
        <w:pStyle w:val="9"/>
        <w:numPr>
          <w:numId w:val="0"/>
        </w:numPr>
        <w:ind w:left="630" w:leftChars="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吊装包装件时，严禁几盘同时吊装，在车辆、船舶等运输工具上电缆必须放稳，并用合适方法固定，防止互撞或翻到。</w:t>
      </w:r>
    </w:p>
    <w:p>
      <w:pPr>
        <w:pStyle w:val="9"/>
        <w:keepNext w:val="0"/>
        <w:keepLines w:val="0"/>
        <w:pageBreakBefore w:val="0"/>
        <w:numPr>
          <w:ilvl w:val="0"/>
          <w:numId w:val="1"/>
        </w:numPr>
        <w:kinsoku/>
        <w:wordWrap/>
        <w:overflowPunct/>
        <w:topLinePunct w:val="0"/>
        <w:autoSpaceDE/>
        <w:autoSpaceDN/>
        <w:bidi w:val="0"/>
        <w:adjustRightInd/>
        <w:snapToGrid/>
        <w:spacing w:after="120"/>
        <w:ind w:left="0" w:leftChars="0" w:firstLine="643" w:firstLineChars="20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其他或环境要求：</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1、产品应由生产厂家的质检部门检验合格后方可出厂，每盘应有产品质量检验合格证，标明型号、长度、出厂日期等参数。</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2、电缆提供合格证、质检报告和矿用产品安全标志证书等资料。</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3、乙方每型电缆要有5米的的余量用于检测。</w:t>
      </w:r>
    </w:p>
    <w:p>
      <w:pPr>
        <w:pStyle w:val="9"/>
        <w:keepNext w:val="0"/>
        <w:keepLines w:val="0"/>
        <w:pageBreakBefore w:val="0"/>
        <w:kinsoku/>
        <w:wordWrap/>
        <w:overflowPunct/>
        <w:topLinePunct w:val="0"/>
        <w:autoSpaceDE/>
        <w:autoSpaceDN/>
        <w:bidi w:val="0"/>
        <w:adjustRightInd/>
        <w:snapToGrid/>
        <w:spacing w:after="120"/>
        <w:ind w:left="0" w:leftChars="0" w:firstLine="64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4、乙方负责在甲方指定检测机构对电缆进行检测，提供检测报告，检测报告要明确注明出该批次产品为甲方在使用。</w:t>
      </w:r>
    </w:p>
    <w:p>
      <w:pPr>
        <w:pStyle w:val="9"/>
        <w:keepNext w:val="0"/>
        <w:keepLines w:val="0"/>
        <w:pageBreakBefore w:val="0"/>
        <w:kinsoku/>
        <w:wordWrap/>
        <w:overflowPunct/>
        <w:topLinePunct w:val="0"/>
        <w:autoSpaceDE/>
        <w:autoSpaceDN/>
        <w:bidi w:val="0"/>
        <w:adjustRightInd/>
        <w:snapToGrid/>
        <w:spacing w:after="120"/>
        <w:ind w:left="0" w:leftChars="0" w:firstLine="640" w:firstLineChars="200"/>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5、电缆必须在接到中标通知书后，40天内将产品、资料全部到货，乙方负责将产品按交货时间运至甲方指定的地点并负责卸货。交货期如有变化，甲方根据现场情况提前7天通知乙方，并和乙方协商确定交货时间。在卸货前由甲方与乙方共同验收产品外观和数量，如有损坏或数量不符，由乙方承担全部责任。</w:t>
      </w:r>
    </w:p>
    <w:p>
      <w:pPr>
        <w:pStyle w:val="9"/>
        <w:keepNext w:val="0"/>
        <w:keepLines w:val="0"/>
        <w:pageBreakBefore w:val="0"/>
        <w:numPr>
          <w:ilvl w:val="0"/>
          <w:numId w:val="1"/>
        </w:numPr>
        <w:kinsoku/>
        <w:wordWrap/>
        <w:overflowPunct/>
        <w:topLinePunct w:val="0"/>
        <w:autoSpaceDE/>
        <w:autoSpaceDN/>
        <w:bidi w:val="0"/>
        <w:adjustRightInd/>
        <w:snapToGrid/>
        <w:spacing w:after="120"/>
        <w:ind w:left="0" w:leftChars="0" w:firstLine="643" w:firstLineChars="200"/>
        <w:rPr>
          <w:rFonts w:hint="eastAsia" w:asciiTheme="minorEastAsia" w:hAnsiTheme="minorEastAsia" w:eastAsiaTheme="minorEastAsia" w:cstheme="minorEastAsia"/>
          <w:b/>
          <w:bCs/>
          <w:sz w:val="32"/>
          <w:szCs w:val="32"/>
          <w:highlight w:val="none"/>
          <w:lang w:val="en-US" w:eastAsia="zh-CN"/>
        </w:rPr>
      </w:pPr>
      <w:bookmarkStart w:id="0" w:name="_GoBack"/>
      <w:bookmarkEnd w:id="0"/>
      <w:r>
        <w:rPr>
          <w:rFonts w:hint="eastAsia" w:asciiTheme="minorEastAsia" w:hAnsiTheme="minorEastAsia" w:eastAsiaTheme="minorEastAsia" w:cstheme="minorEastAsia"/>
          <w:b/>
          <w:bCs/>
          <w:sz w:val="32"/>
          <w:szCs w:val="32"/>
          <w:highlight w:val="none"/>
          <w:lang w:val="en-US" w:eastAsia="zh-CN"/>
        </w:rPr>
        <w:t>质量保证、付款方式及售后：</w:t>
      </w:r>
    </w:p>
    <w:p>
      <w:pPr>
        <w:pStyle w:val="9"/>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1、产品实行三包，质保期为一年。</w:t>
      </w:r>
    </w:p>
    <w:p>
      <w:pPr>
        <w:pStyle w:val="9"/>
        <w:ind w:left="0" w:leftChars="0" w:firstLine="640" w:firstLineChars="200"/>
        <w:rPr>
          <w:rFonts w:hint="eastAsia" w:asciiTheme="minorEastAsia" w:hAnsiTheme="minorEastAsia" w:eastAsiaTheme="minorEastAsia" w:cstheme="minorEastAsia"/>
          <w:color w:val="FF0000"/>
          <w:sz w:val="32"/>
          <w:szCs w:val="32"/>
          <w:lang w:val="en-US" w:eastAsia="zh-CN"/>
        </w:rPr>
      </w:pPr>
      <w:r>
        <w:rPr>
          <w:rFonts w:hint="eastAsia" w:asciiTheme="minorEastAsia" w:hAnsiTheme="minorEastAsia" w:eastAsiaTheme="minorEastAsia" w:cstheme="minorEastAsia"/>
          <w:color w:val="auto"/>
          <w:sz w:val="32"/>
          <w:szCs w:val="32"/>
          <w:lang w:val="en-US" w:eastAsia="zh-CN"/>
        </w:rPr>
        <w:t>2、在质保期内，因电缆质量问题而造成的设备损坏或不能正常使用时，卖方应无偿更换。</w:t>
      </w:r>
    </w:p>
    <w:p>
      <w:pPr>
        <w:spacing w:line="400" w:lineRule="exac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签</w:t>
      </w:r>
      <w:r>
        <w:rPr>
          <w:rFonts w:hint="eastAsia" w:asciiTheme="majorEastAsia" w:hAnsiTheme="majorEastAsia" w:eastAsiaTheme="majorEastAsia" w:cstheme="majorEastAsia"/>
          <w:b/>
          <w:bCs w:val="0"/>
          <w:sz w:val="36"/>
          <w:szCs w:val="36"/>
          <w:lang w:val="en-US" w:eastAsia="zh-CN"/>
        </w:rPr>
        <w:t xml:space="preserve"> </w:t>
      </w:r>
      <w:r>
        <w:rPr>
          <w:rFonts w:hint="eastAsia" w:asciiTheme="majorEastAsia" w:hAnsiTheme="majorEastAsia" w:eastAsiaTheme="majorEastAsia" w:cstheme="majorEastAsia"/>
          <w:b/>
          <w:bCs w:val="0"/>
          <w:sz w:val="36"/>
          <w:szCs w:val="36"/>
        </w:rPr>
        <w:t>字</w:t>
      </w:r>
      <w:r>
        <w:rPr>
          <w:rFonts w:hint="eastAsia" w:asciiTheme="majorEastAsia" w:hAnsiTheme="majorEastAsia" w:eastAsiaTheme="majorEastAsia" w:cstheme="majorEastAsia"/>
          <w:b/>
          <w:bCs w:val="0"/>
          <w:sz w:val="36"/>
          <w:szCs w:val="36"/>
          <w:lang w:val="en-US" w:eastAsia="zh-CN"/>
        </w:rPr>
        <w:t xml:space="preserve"> 审 批 </w:t>
      </w:r>
      <w:r>
        <w:rPr>
          <w:rFonts w:hint="eastAsia" w:asciiTheme="majorEastAsia" w:hAnsiTheme="majorEastAsia" w:eastAsiaTheme="majorEastAsia" w:cstheme="majorEastAsia"/>
          <w:b/>
          <w:bCs w:val="0"/>
          <w:sz w:val="36"/>
          <w:szCs w:val="36"/>
        </w:rPr>
        <w:t>页</w:t>
      </w:r>
    </w:p>
    <w:p>
      <w:pPr>
        <w:pStyle w:val="8"/>
        <w:rPr>
          <w:rFonts w:hint="eastAsia" w:asciiTheme="minorEastAsia" w:hAnsiTheme="minorEastAsia" w:eastAsiaTheme="minorEastAsia" w:cstheme="minorEastAsia"/>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使用方（章）：</w:t>
      </w:r>
      <w:r>
        <w:rPr>
          <w:rFonts w:hint="eastAsia" w:asciiTheme="minorEastAsia" w:hAnsiTheme="minorEastAsia" w:eastAsiaTheme="minorEastAsia" w:cstheme="minorEastAsia"/>
          <w:sz w:val="32"/>
          <w:szCs w:val="32"/>
        </w:rPr>
        <w:t>内蒙古神东天隆集团股份有限公司霍洛湾煤矿</w:t>
      </w:r>
      <w:r>
        <w:rPr>
          <w:rFonts w:hint="eastAsia" w:asciiTheme="minorEastAsia" w:hAnsiTheme="minorEastAsia" w:eastAsiaTheme="minorEastAsia" w:cstheme="minorEastAsia"/>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审核方（章）：内蒙古神东天隆集团股份有限公司机电动力部</w:t>
      </w:r>
    </w:p>
    <w:p>
      <w:pPr>
        <w:pStyle w:val="8"/>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pStyle w:val="9"/>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NGJkY2ZhOGMyMTQ5NWQ4MjJjZDFjYWFjYzUxYzEifQ=="/>
  </w:docVars>
  <w:rsids>
    <w:rsidRoot w:val="29FF6835"/>
    <w:rsid w:val="004325CA"/>
    <w:rsid w:val="02131202"/>
    <w:rsid w:val="0B11167B"/>
    <w:rsid w:val="0C8C1967"/>
    <w:rsid w:val="0E9717C0"/>
    <w:rsid w:val="1905518E"/>
    <w:rsid w:val="1B915FA6"/>
    <w:rsid w:val="23851FDE"/>
    <w:rsid w:val="251B70E9"/>
    <w:rsid w:val="289D6D7F"/>
    <w:rsid w:val="29FF6835"/>
    <w:rsid w:val="2A8C27DA"/>
    <w:rsid w:val="38977872"/>
    <w:rsid w:val="394C5C67"/>
    <w:rsid w:val="3C086F89"/>
    <w:rsid w:val="3E04780F"/>
    <w:rsid w:val="514813E1"/>
    <w:rsid w:val="5C461025"/>
    <w:rsid w:val="60AA0313"/>
    <w:rsid w:val="62C5556D"/>
    <w:rsid w:val="6A4916C3"/>
    <w:rsid w:val="6F312BDD"/>
    <w:rsid w:val="791B6537"/>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2"/>
    <w:basedOn w:val="1"/>
    <w:next w:val="1"/>
    <w:qFormat/>
    <w:uiPriority w:val="0"/>
    <w:pPr>
      <w:ind w:left="200" w:leftChars="200"/>
    </w:pPr>
  </w:style>
  <w:style w:type="paragraph" w:styleId="9">
    <w:name w:val="Body Text First Indent 2"/>
    <w:basedOn w:val="4"/>
    <w:qFormat/>
    <w:uiPriority w:val="0"/>
    <w:pPr>
      <w:ind w:firstLine="420" w:firstLineChars="200"/>
    </w:pPr>
  </w:style>
  <w:style w:type="paragraph" w:styleId="12">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575</Words>
  <Characters>642</Characters>
  <Lines>0</Lines>
  <Paragraphs>0</Paragraphs>
  <TotalTime>1</TotalTime>
  <ScaleCrop>false</ScaleCrop>
  <LinksUpToDate>false</LinksUpToDate>
  <CharactersWithSpaces>805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沙洲</cp:lastModifiedBy>
  <cp:lastPrinted>2022-04-28T00:26:00Z</cp:lastPrinted>
  <dcterms:modified xsi:type="dcterms:W3CDTF">2022-12-17T00:37:55Z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2C0073C78C154855820D7F7CB257E345</vt:lpwstr>
  </property>
</Properties>
</file>