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hint="default" w:ascii="宋体" w:hAnsi="宋体" w:eastAsia="黑体"/>
          <w:b/>
          <w:sz w:val="72"/>
          <w:szCs w:val="72"/>
          <w:lang w:val="en-US" w:eastAsia="zh-CN"/>
        </w:rPr>
      </w:pPr>
      <w:r>
        <w:rPr>
          <w:rFonts w:hint="eastAsia" w:ascii="黑体" w:hAnsi="黑体" w:eastAsia="黑体" w:cs="黑体"/>
          <w:b/>
          <w:sz w:val="32"/>
          <w:szCs w:val="32"/>
        </w:rPr>
        <w:t>编号：</w:t>
      </w:r>
      <w:r>
        <w:rPr>
          <w:rFonts w:hint="eastAsia" w:ascii="黑体" w:hAnsi="黑体" w:eastAsia="黑体" w:cs="黑体"/>
          <w:b/>
          <w:bCs/>
          <w:sz w:val="32"/>
          <w:szCs w:val="32"/>
        </w:rPr>
        <w:t>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5</w:t>
      </w:r>
    </w:p>
    <w:p>
      <w:pPr>
        <w:ind w:left="420"/>
        <w:jc w:val="center"/>
        <w:rPr>
          <w:rFonts w:ascii="宋体" w:hAnsi="宋体"/>
          <w:b/>
          <w:sz w:val="72"/>
          <w:szCs w:val="72"/>
        </w:rPr>
      </w:pPr>
    </w:p>
    <w:p>
      <w:pPr>
        <w:ind w:left="420"/>
        <w:jc w:val="center"/>
        <w:rPr>
          <w:rFonts w:ascii="宋体" w:hAnsi="宋体"/>
          <w:b/>
          <w:sz w:val="44"/>
          <w:szCs w:val="44"/>
        </w:rPr>
      </w:pPr>
    </w:p>
    <w:p>
      <w:pPr>
        <w:ind w:left="420"/>
        <w:jc w:val="center"/>
        <w:rPr>
          <w:rFonts w:ascii="宋体" w:hAnsi="宋体"/>
          <w:b/>
          <w:sz w:val="44"/>
          <w:szCs w:val="44"/>
        </w:rPr>
      </w:pPr>
    </w:p>
    <w:p>
      <w:pPr>
        <w:jc w:val="center"/>
        <w:rPr>
          <w:rFonts w:ascii="宋体" w:hAnsi="宋体" w:cs="宋体"/>
          <w:b/>
          <w:sz w:val="36"/>
          <w:szCs w:val="36"/>
        </w:rPr>
      </w:pPr>
      <w:r>
        <w:rPr>
          <w:rFonts w:hint="eastAsia" w:ascii="宋体" w:hAnsi="宋体" w:cs="宋体"/>
          <w:b/>
          <w:sz w:val="40"/>
          <w:szCs w:val="40"/>
        </w:rPr>
        <w:t>内蒙古神东天隆集团股份有限公司物业分公司</w:t>
      </w:r>
      <w:r>
        <w:rPr>
          <w:rFonts w:hint="eastAsia" w:ascii="宋体" w:hAnsi="宋体" w:cs="宋体"/>
          <w:b/>
          <w:bCs/>
          <w:w w:val="80"/>
          <w:sz w:val="40"/>
          <w:szCs w:val="40"/>
        </w:rPr>
        <w:t>关于上湾天隆公寓电梯大修</w:t>
      </w:r>
    </w:p>
    <w:p>
      <w:pPr>
        <w:jc w:val="center"/>
        <w:rPr>
          <w:rFonts w:ascii="宋体" w:hAnsi="宋体" w:cs="宋体"/>
          <w:b/>
          <w:sz w:val="36"/>
          <w:szCs w:val="36"/>
        </w:rPr>
      </w:pPr>
    </w:p>
    <w:p>
      <w:pPr>
        <w:jc w:val="center"/>
        <w:rPr>
          <w:rFonts w:ascii="宋体" w:hAnsi="宋体" w:cs="宋体"/>
          <w:b/>
          <w:sz w:val="96"/>
          <w:szCs w:val="96"/>
        </w:rPr>
      </w:pPr>
      <w:r>
        <w:rPr>
          <w:rFonts w:hint="eastAsia" w:ascii="宋体" w:hAnsi="宋体" w:cs="宋体"/>
          <w:b/>
          <w:sz w:val="84"/>
          <w:szCs w:val="84"/>
        </w:rPr>
        <w:t>技 术 要 求</w:t>
      </w:r>
    </w:p>
    <w:p>
      <w:pPr>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32"/>
          <w:szCs w:val="32"/>
        </w:rPr>
        <w:t>审核方：</w:t>
      </w:r>
      <w:r>
        <w:rPr>
          <w:rFonts w:hint="eastAsia" w:asciiTheme="minorEastAsia" w:hAnsiTheme="minorEastAsia" w:eastAsiaTheme="minorEastAsia" w:cstheme="minorEastAsia"/>
          <w:sz w:val="32"/>
          <w:szCs w:val="32"/>
        </w:rPr>
        <w:t>内蒙古神东天隆集团股份有限公司</w:t>
      </w:r>
      <w:r>
        <w:rPr>
          <w:rFonts w:hint="eastAsia" w:asciiTheme="minorEastAsia" w:hAnsiTheme="minorEastAsia" w:eastAsiaTheme="minorEastAsia" w:cstheme="minorEastAsia"/>
          <w:sz w:val="32"/>
          <w:szCs w:val="32"/>
          <w:lang w:val="en-US" w:eastAsia="zh-CN"/>
        </w:rPr>
        <w:t>机电动力部</w:t>
      </w:r>
      <w:r>
        <w:rPr>
          <w:rFonts w:hint="eastAsia" w:asciiTheme="minorEastAsia" w:hAnsiTheme="minorEastAsia" w:eastAsiaTheme="minorEastAsia" w:cstheme="minorEastAsia"/>
          <w:szCs w:val="21"/>
        </w:rPr>
        <w:t xml:space="preserve">  </w:t>
      </w:r>
    </w:p>
    <w:p>
      <w:pPr>
        <w:jc w:val="both"/>
        <w:rPr>
          <w:rFonts w:hint="eastAsia" w:asciiTheme="minorEastAsia" w:hAnsiTheme="minorEastAsia" w:eastAsiaTheme="minorEastAsia" w:cstheme="minorEastAsia"/>
          <w:szCs w:val="21"/>
        </w:rPr>
      </w:pPr>
    </w:p>
    <w:p>
      <w:pPr>
        <w:jc w:val="both"/>
        <w:rPr>
          <w:sz w:val="32"/>
          <w:szCs w:val="32"/>
        </w:rPr>
      </w:pPr>
      <w:r>
        <w:rPr>
          <w:rFonts w:hint="eastAsia" w:asciiTheme="minorEastAsia" w:hAnsiTheme="minorEastAsia" w:eastAsiaTheme="minorEastAsia" w:cstheme="minorEastAsia"/>
          <w:szCs w:val="21"/>
        </w:rPr>
        <w:t xml:space="preserve">   </w:t>
      </w:r>
      <w:r>
        <w:rPr>
          <w:rFonts w:hint="eastAsia"/>
          <w:sz w:val="30"/>
          <w:szCs w:val="30"/>
        </w:rPr>
        <w:t xml:space="preserve">                                </w:t>
      </w:r>
      <w:r>
        <w:rPr>
          <w:rFonts w:hint="eastAsia"/>
          <w:sz w:val="32"/>
          <w:szCs w:val="32"/>
        </w:rPr>
        <w:t xml:space="preserve"> </w:t>
      </w:r>
    </w:p>
    <w:p>
      <w:pPr>
        <w:tabs>
          <w:tab w:val="left" w:pos="1227"/>
        </w:tabs>
        <w:jc w:val="center"/>
        <w:rPr>
          <w:rFonts w:ascii="宋体" w:hAnsi="宋体"/>
          <w:bCs/>
          <w:sz w:val="32"/>
          <w:szCs w:val="21"/>
        </w:rPr>
      </w:pPr>
      <w:r>
        <w:rPr>
          <w:rFonts w:ascii="宋体" w:hAnsi="宋体"/>
          <w:bCs/>
          <w:sz w:val="32"/>
          <w:szCs w:val="21"/>
        </w:rPr>
        <w:t>20</w:t>
      </w:r>
      <w:r>
        <w:rPr>
          <w:rFonts w:hint="eastAsia" w:ascii="宋体" w:hAnsi="宋体"/>
          <w:bCs/>
          <w:sz w:val="32"/>
          <w:szCs w:val="21"/>
        </w:rPr>
        <w:t>2</w:t>
      </w:r>
      <w:r>
        <w:rPr>
          <w:rFonts w:hint="eastAsia" w:ascii="宋体" w:hAnsi="宋体"/>
          <w:bCs/>
          <w:sz w:val="32"/>
          <w:szCs w:val="21"/>
          <w:lang w:val="en-US" w:eastAsia="zh-CN"/>
        </w:rPr>
        <w:t>3</w:t>
      </w:r>
      <w:r>
        <w:rPr>
          <w:rFonts w:ascii="宋体" w:hAnsi="宋体"/>
          <w:bCs/>
          <w:sz w:val="32"/>
          <w:szCs w:val="21"/>
        </w:rPr>
        <w:t>年</w:t>
      </w:r>
      <w:r>
        <w:rPr>
          <w:rFonts w:hint="eastAsia" w:ascii="宋体" w:hAnsi="宋体"/>
          <w:bCs/>
          <w:sz w:val="32"/>
          <w:szCs w:val="21"/>
          <w:lang w:val="en-US" w:eastAsia="zh-CN"/>
        </w:rPr>
        <w:t>6</w:t>
      </w:r>
      <w:r>
        <w:rPr>
          <w:rFonts w:ascii="宋体" w:hAnsi="宋体"/>
          <w:bCs/>
          <w:sz w:val="32"/>
          <w:szCs w:val="21"/>
        </w:rPr>
        <w:t>月</w:t>
      </w:r>
      <w:r>
        <w:rPr>
          <w:rFonts w:hint="eastAsia" w:ascii="宋体" w:hAnsi="宋体"/>
          <w:bCs/>
          <w:sz w:val="32"/>
          <w:szCs w:val="21"/>
          <w:lang w:val="en-US" w:eastAsia="zh-CN"/>
        </w:rPr>
        <w:t>14</w:t>
      </w:r>
      <w:r>
        <w:rPr>
          <w:rFonts w:ascii="宋体" w:hAnsi="宋体"/>
          <w:bCs/>
          <w:sz w:val="32"/>
          <w:szCs w:val="21"/>
        </w:rPr>
        <w:t>日</w:t>
      </w:r>
    </w:p>
    <w:p>
      <w:pPr>
        <w:rPr>
          <w:sz w:val="32"/>
          <w:szCs w:val="32"/>
        </w:rPr>
      </w:pPr>
    </w:p>
    <w:p>
      <w:pPr>
        <w:jc w:val="center"/>
        <w:rPr>
          <w:rFonts w:ascii="宋体" w:hAnsi="宋体" w:cs="宋体"/>
          <w:sz w:val="32"/>
          <w:szCs w:val="32"/>
        </w:rPr>
        <w:sectPr>
          <w:footerReference r:id="rId3" w:type="default"/>
          <w:pgSz w:w="11906" w:h="16838"/>
          <w:pgMar w:top="1440" w:right="1800" w:bottom="1440" w:left="1800" w:header="851" w:footer="992" w:gutter="0"/>
          <w:cols w:space="425" w:num="1"/>
          <w:docGrid w:type="lines" w:linePitch="312" w:charSpace="0"/>
        </w:sectPr>
      </w:pPr>
    </w:p>
    <w:p>
      <w:pPr>
        <w:jc w:val="right"/>
        <w:rPr>
          <w:rFonts w:hint="eastAsia" w:eastAsia="黑体"/>
          <w:sz w:val="32"/>
          <w:szCs w:val="32"/>
          <w:lang w:eastAsia="zh-CN"/>
        </w:rPr>
      </w:pPr>
      <w:r>
        <w:rPr>
          <w:rFonts w:hint="eastAsia" w:ascii="黑体" w:hAnsi="黑体" w:eastAsia="黑体" w:cs="黑体"/>
          <w:b/>
          <w:bCs/>
          <w:sz w:val="32"/>
          <w:szCs w:val="32"/>
        </w:rPr>
        <w:t>编号：WY-202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5</w:t>
      </w:r>
    </w:p>
    <w:p>
      <w:pPr>
        <w:spacing w:beforeLines="100" w:afterLines="1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技 术 要 求</w:t>
      </w: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pStyle w:val="11"/>
        <w:spacing w:after="0"/>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 w:val="32"/>
          <w:szCs w:val="32"/>
        </w:rPr>
        <w:t>审核方：内蒙古神东天隆集团股份有限公司</w:t>
      </w:r>
      <w:r>
        <w:rPr>
          <w:rFonts w:hint="eastAsia" w:asciiTheme="minorEastAsia" w:hAnsiTheme="minorEastAsia" w:eastAsiaTheme="minorEastAsia" w:cstheme="minorEastAsia"/>
          <w:sz w:val="32"/>
          <w:szCs w:val="32"/>
          <w:lang w:val="en-US" w:eastAsia="zh-CN"/>
        </w:rPr>
        <w:t>机电动力部</w:t>
      </w:r>
      <w:r>
        <w:rPr>
          <w:rFonts w:hint="eastAsia" w:asciiTheme="minorEastAsia" w:hAnsiTheme="minorEastAsia" w:eastAsiaTheme="minorEastAsia" w:cstheme="minorEastAsia"/>
          <w:szCs w:val="21"/>
        </w:rPr>
        <w:t xml:space="preserve">               </w:t>
      </w:r>
    </w:p>
    <w:p>
      <w:pPr>
        <w:pStyle w:val="16"/>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一、基本信息：</w:t>
      </w:r>
    </w:p>
    <w:tbl>
      <w:tblPr>
        <w:tblStyle w:val="12"/>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287"/>
        <w:gridCol w:w="552"/>
        <w:gridCol w:w="782"/>
        <w:gridCol w:w="1220"/>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6" w:type="dxa"/>
            <w:vAlign w:val="center"/>
          </w:tcPr>
          <w:p>
            <w:pPr>
              <w:ind w:right="-63" w:rightChars="-3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w:t>
            </w:r>
          </w:p>
        </w:tc>
        <w:tc>
          <w:tcPr>
            <w:tcW w:w="22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规格型号</w:t>
            </w:r>
          </w:p>
        </w:tc>
        <w:tc>
          <w:tcPr>
            <w:tcW w:w="552"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w:t>
            </w:r>
          </w:p>
        </w:tc>
        <w:tc>
          <w:tcPr>
            <w:tcW w:w="782"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量</w:t>
            </w:r>
          </w:p>
        </w:tc>
        <w:tc>
          <w:tcPr>
            <w:tcW w:w="1220"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w:t>
            </w:r>
          </w:p>
        </w:tc>
        <w:tc>
          <w:tcPr>
            <w:tcW w:w="266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交（提）货</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66"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曳引轮</w:t>
            </w:r>
          </w:p>
        </w:tc>
        <w:tc>
          <w:tcPr>
            <w:tcW w:w="2287" w:type="dxa"/>
            <w:vAlign w:val="center"/>
          </w:tcPr>
          <w:p>
            <w:pPr>
              <w:spacing w:line="360" w:lineRule="auto"/>
              <w:jc w:val="center"/>
              <w:rPr>
                <w:rFonts w:hint="default" w:ascii="Times New Roman" w:hAnsi="Times New Roman" w:eastAsia="宋体" w:cs="Calibri"/>
                <w:b w:val="0"/>
                <w:bCs w:val="0"/>
                <w:color w:val="000000"/>
                <w:kern w:val="2"/>
                <w:sz w:val="21"/>
                <w:szCs w:val="24"/>
                <w:lang w:val="en-US" w:eastAsia="zh-CN" w:bidi="ar-SA"/>
              </w:rPr>
            </w:pPr>
            <w:r>
              <w:rPr>
                <w:rFonts w:hint="eastAsia" w:cs="Calibri"/>
                <w:b w:val="0"/>
                <w:bCs w:val="0"/>
                <w:color w:val="000000"/>
              </w:rPr>
              <w:t>永大</w:t>
            </w:r>
          </w:p>
        </w:tc>
        <w:tc>
          <w:tcPr>
            <w:tcW w:w="552"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个</w:t>
            </w:r>
          </w:p>
        </w:tc>
        <w:tc>
          <w:tcPr>
            <w:tcW w:w="782"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3</w:t>
            </w:r>
          </w:p>
        </w:tc>
        <w:tc>
          <w:tcPr>
            <w:tcW w:w="1220" w:type="dxa"/>
            <w:vAlign w:val="center"/>
          </w:tcPr>
          <w:p>
            <w:pPr>
              <w:adjustRightInd w:val="0"/>
              <w:snapToGrid w:val="0"/>
              <w:spacing w:line="3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上湾天隆公寓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966"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曳引钢丝绳</w:t>
            </w:r>
          </w:p>
        </w:tc>
        <w:tc>
          <w:tcPr>
            <w:tcW w:w="2287" w:type="dxa"/>
            <w:vAlign w:val="center"/>
          </w:tcPr>
          <w:p>
            <w:pPr>
              <w:spacing w:line="360" w:lineRule="auto"/>
              <w:jc w:val="center"/>
              <w:rPr>
                <w:rFonts w:hint="eastAsia"/>
              </w:rPr>
            </w:pPr>
            <w:r>
              <w:rPr>
                <w:rFonts w:hint="eastAsia"/>
              </w:rPr>
              <w:t>天津全友</w:t>
            </w:r>
          </w:p>
          <w:p>
            <w:pPr>
              <w:pStyle w:val="2"/>
              <w:ind w:firstLine="420" w:firstLineChars="200"/>
              <w:jc w:val="both"/>
              <w:rPr>
                <w:rFonts w:hint="default" w:eastAsia="宋体"/>
                <w:lang w:val="en-US" w:eastAsia="zh-CN"/>
              </w:rPr>
            </w:pPr>
            <w:r>
              <w:rPr>
                <w:rFonts w:hint="eastAsia" w:cs="Calibri"/>
                <w:b w:val="0"/>
                <w:bCs w:val="0"/>
                <w:color w:val="000000"/>
                <w:lang w:val="en-US" w:eastAsia="zh-CN"/>
              </w:rPr>
              <w:t>10mm</w:t>
            </w:r>
          </w:p>
        </w:tc>
        <w:tc>
          <w:tcPr>
            <w:tcW w:w="552"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m</w:t>
            </w:r>
          </w:p>
        </w:tc>
        <w:tc>
          <w:tcPr>
            <w:tcW w:w="782"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3*700m</w:t>
            </w:r>
          </w:p>
        </w:tc>
        <w:tc>
          <w:tcPr>
            <w:tcW w:w="1220"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上湾天隆公寓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无线五方对讲</w:t>
            </w:r>
          </w:p>
        </w:tc>
        <w:tc>
          <w:tcPr>
            <w:tcW w:w="2287" w:type="dxa"/>
            <w:vAlign w:val="center"/>
          </w:tcPr>
          <w:p>
            <w:pPr>
              <w:spacing w:line="360" w:lineRule="auto"/>
              <w:jc w:val="center"/>
              <w:rPr>
                <w:rFonts w:ascii="Times New Roman" w:hAnsi="Times New Roman" w:eastAsia="宋体" w:cs="Calibri"/>
                <w:b w:val="0"/>
                <w:bCs w:val="0"/>
                <w:color w:val="000000"/>
                <w:kern w:val="2"/>
                <w:sz w:val="21"/>
                <w:szCs w:val="24"/>
                <w:lang w:val="en-US" w:eastAsia="zh-CN" w:bidi="ar-SA"/>
              </w:rPr>
            </w:pPr>
            <w:r>
              <w:rPr>
                <w:rFonts w:hint="eastAsia" w:cs="Calibri"/>
                <w:b w:val="0"/>
                <w:bCs w:val="0"/>
                <w:color w:val="000000"/>
              </w:rPr>
              <w:t>刘付氏</w:t>
            </w:r>
          </w:p>
        </w:tc>
        <w:tc>
          <w:tcPr>
            <w:tcW w:w="552"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套</w:t>
            </w:r>
          </w:p>
        </w:tc>
        <w:tc>
          <w:tcPr>
            <w:tcW w:w="782" w:type="dxa"/>
            <w:vAlign w:val="center"/>
          </w:tcPr>
          <w:p>
            <w:pPr>
              <w:spacing w:line="360" w:lineRule="auto"/>
              <w:jc w:val="center"/>
              <w:rPr>
                <w:rFonts w:hint="default" w:ascii="Times New Roman" w:hAnsi="Times New Roman" w:eastAsia="宋体" w:cs="Times New Roman"/>
                <w:b w:val="0"/>
                <w:bCs w:val="0"/>
                <w:color w:val="000000"/>
                <w:kern w:val="2"/>
                <w:sz w:val="21"/>
                <w:szCs w:val="24"/>
                <w:lang w:val="en-US" w:eastAsia="zh-CN" w:bidi="ar-SA"/>
              </w:rPr>
            </w:pPr>
            <w:r>
              <w:rPr>
                <w:rFonts w:hint="eastAsia"/>
                <w:b w:val="0"/>
                <w:bCs w:val="0"/>
                <w:color w:val="000000"/>
              </w:rPr>
              <w:t>3</w:t>
            </w:r>
          </w:p>
        </w:tc>
        <w:tc>
          <w:tcPr>
            <w:tcW w:w="1220"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上湾天隆公寓</w:t>
            </w:r>
          </w:p>
        </w:tc>
      </w:tr>
    </w:tbl>
    <w:p>
      <w:pPr>
        <w:rPr>
          <w:rFonts w:asciiTheme="minorEastAsia" w:hAnsiTheme="minorEastAsia" w:eastAsiaTheme="minorEastAsia" w:cstheme="minorEastAsia"/>
          <w:vanish/>
        </w:rPr>
      </w:pPr>
    </w:p>
    <w:p>
      <w:pPr>
        <w:numPr>
          <w:ilvl w:val="0"/>
          <w:numId w:val="1"/>
        </w:numPr>
        <w:ind w:firstLine="643"/>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基本参数：</w:t>
      </w:r>
    </w:p>
    <w:p>
      <w:pPr>
        <w:pStyle w:val="2"/>
        <w:numPr>
          <w:ilvl w:val="0"/>
          <w:numId w:val="0"/>
        </w:num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w:t>
      </w:r>
      <w:r>
        <w:rPr>
          <w:rFonts w:hint="eastAsia" w:ascii="仿宋" w:hAnsi="仿宋" w:eastAsia="仿宋"/>
          <w:sz w:val="30"/>
          <w:szCs w:val="30"/>
          <w:lang w:val="en-US" w:eastAsia="zh-CN"/>
        </w:rPr>
        <w:t>3</w:t>
      </w:r>
      <w:r>
        <w:rPr>
          <w:rFonts w:hint="eastAsia" w:ascii="仿宋" w:hAnsi="仿宋" w:eastAsia="仿宋"/>
          <w:sz w:val="30"/>
          <w:szCs w:val="30"/>
        </w:rPr>
        <w:t>部三电梯更换</w:t>
      </w:r>
      <w:r>
        <w:rPr>
          <w:rFonts w:hint="eastAsia" w:ascii="仿宋" w:hAnsi="仿宋" w:eastAsia="仿宋"/>
          <w:sz w:val="30"/>
          <w:szCs w:val="30"/>
          <w:lang w:val="en-US" w:eastAsia="zh-CN"/>
        </w:rPr>
        <w:t>的</w:t>
      </w:r>
      <w:r>
        <w:rPr>
          <w:rFonts w:hint="eastAsia" w:ascii="仿宋" w:hAnsi="仿宋" w:eastAsia="仿宋"/>
          <w:sz w:val="30"/>
          <w:szCs w:val="30"/>
        </w:rPr>
        <w:t>钢丝绳</w:t>
      </w:r>
      <w:r>
        <w:rPr>
          <w:rFonts w:hint="eastAsia" w:ascii="仿宋" w:hAnsi="仿宋" w:eastAsia="仿宋"/>
          <w:sz w:val="30"/>
          <w:szCs w:val="30"/>
          <w:lang w:val="en-US" w:eastAsia="zh-CN"/>
        </w:rPr>
        <w:t>及辅材配件全部为上湾天隆公寓现用电梯的原厂配件。</w:t>
      </w:r>
    </w:p>
    <w:p>
      <w:pPr>
        <w:numPr>
          <w:ilvl w:val="0"/>
          <w:numId w:val="0"/>
        </w:numPr>
        <w:spacing w:line="520" w:lineRule="exact"/>
        <w:ind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（二）曳引轮，规格型号：永大，数量：3个</w:t>
      </w:r>
    </w:p>
    <w:p>
      <w:pPr>
        <w:pStyle w:val="2"/>
        <w:numPr>
          <w:ilvl w:val="0"/>
          <w:numId w:val="0"/>
        </w:numPr>
        <w:ind w:firstLine="600" w:firstLineChars="200"/>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（三）</w:t>
      </w:r>
      <w:r>
        <w:rPr>
          <w:rFonts w:hint="default" w:ascii="仿宋" w:hAnsi="仿宋" w:eastAsia="仿宋" w:cs="Times New Roman"/>
          <w:kern w:val="2"/>
          <w:sz w:val="30"/>
          <w:szCs w:val="30"/>
          <w:lang w:val="en-US" w:eastAsia="zh-CN" w:bidi="ar-SA"/>
        </w:rPr>
        <w:t>曳引钢丝绳</w:t>
      </w:r>
      <w:r>
        <w:rPr>
          <w:rFonts w:hint="eastAsia" w:ascii="仿宋" w:hAnsi="仿宋" w:eastAsia="仿宋" w:cs="Times New Roman"/>
          <w:kern w:val="2"/>
          <w:sz w:val="30"/>
          <w:szCs w:val="30"/>
          <w:lang w:val="en-US" w:eastAsia="zh-CN" w:bidi="ar-SA"/>
        </w:rPr>
        <w:t>，规格型号：</w:t>
      </w:r>
      <w:r>
        <w:rPr>
          <w:rFonts w:hint="default" w:ascii="仿宋" w:hAnsi="仿宋" w:eastAsia="仿宋" w:cs="Times New Roman"/>
          <w:kern w:val="2"/>
          <w:sz w:val="30"/>
          <w:szCs w:val="30"/>
          <w:lang w:val="en-US" w:eastAsia="zh-CN" w:bidi="ar-SA"/>
        </w:rPr>
        <w:t>天津全友</w:t>
      </w:r>
      <w:r>
        <w:rPr>
          <w:rFonts w:hint="eastAsia" w:ascii="仿宋" w:hAnsi="仿宋" w:eastAsia="仿宋" w:cs="Times New Roman"/>
          <w:kern w:val="2"/>
          <w:sz w:val="30"/>
          <w:szCs w:val="30"/>
          <w:lang w:val="en-US" w:eastAsia="zh-CN" w:bidi="ar-SA"/>
        </w:rPr>
        <w:t>，10mm</w:t>
      </w:r>
      <w:r>
        <w:rPr>
          <w:rFonts w:hint="default" w:ascii="仿宋" w:hAnsi="仿宋" w:eastAsia="仿宋" w:cs="Times New Roman"/>
          <w:kern w:val="2"/>
          <w:sz w:val="30"/>
          <w:szCs w:val="30"/>
          <w:lang w:val="en-US" w:eastAsia="zh-CN" w:bidi="ar-SA"/>
        </w:rPr>
        <w:tab/>
      </w:r>
      <w:r>
        <w:rPr>
          <w:rFonts w:hint="eastAsia" w:ascii="仿宋" w:hAnsi="仿宋" w:eastAsia="仿宋" w:cs="Times New Roman"/>
          <w:kern w:val="2"/>
          <w:sz w:val="30"/>
          <w:szCs w:val="30"/>
          <w:lang w:val="en-US" w:eastAsia="zh-CN" w:bidi="ar-SA"/>
        </w:rPr>
        <w:t>，数量：3根，长度：700m/根</w:t>
      </w:r>
    </w:p>
    <w:p>
      <w:pPr>
        <w:ind w:firstLine="600" w:firstLineChars="200"/>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（四）无线五方对讲3套，规格型号：刘付氏</w:t>
      </w:r>
    </w:p>
    <w:p>
      <w:pPr>
        <w:spacing w:line="520" w:lineRule="exact"/>
        <w:ind w:firstLine="803" w:firstLineChars="250"/>
        <w:rPr>
          <w:rFonts w:ascii="宋体" w:hAnsi="宋体" w:eastAsia="宋体" w:cs="宋体"/>
          <w:sz w:val="24"/>
        </w:rPr>
      </w:pPr>
      <w:r>
        <w:rPr>
          <w:rFonts w:hint="eastAsia" w:asciiTheme="minorEastAsia" w:hAnsiTheme="minorEastAsia" w:eastAsiaTheme="minorEastAsia" w:cstheme="minorEastAsia"/>
          <w:b/>
          <w:bCs/>
          <w:sz w:val="32"/>
          <w:szCs w:val="32"/>
        </w:rPr>
        <w:t>三、基本要求：</w:t>
      </w:r>
    </w:p>
    <w:p>
      <w:pPr>
        <w:pStyle w:val="11"/>
        <w:ind w:left="0" w:leftChars="0" w:firstLine="750" w:firstLineChars="250"/>
        <w:rPr>
          <w:rFonts w:hint="eastAsia" w:ascii="仿宋" w:hAnsi="仿宋" w:eastAsia="仿宋"/>
          <w:sz w:val="30"/>
          <w:szCs w:val="30"/>
          <w:lang w:eastAsia="zh-CN"/>
        </w:rPr>
      </w:pPr>
      <w:r>
        <w:rPr>
          <w:rFonts w:hint="eastAsia" w:ascii="仿宋" w:hAnsi="仿宋" w:eastAsia="仿宋"/>
          <w:sz w:val="30"/>
          <w:szCs w:val="30"/>
        </w:rPr>
        <w:t>（一）电梯钢丝绳及辅材须符合国家及行业标准</w:t>
      </w:r>
      <w:r>
        <w:rPr>
          <w:rFonts w:hint="eastAsia" w:ascii="仿宋" w:hAnsi="仿宋" w:eastAsia="仿宋"/>
          <w:sz w:val="30"/>
          <w:szCs w:val="30"/>
          <w:lang w:val="en-US" w:eastAsia="zh-CN"/>
        </w:rPr>
        <w:t>及甲方相关设备管理办法</w:t>
      </w:r>
      <w:r>
        <w:rPr>
          <w:rFonts w:hint="eastAsia" w:ascii="仿宋" w:hAnsi="仿宋" w:eastAsia="仿宋"/>
          <w:sz w:val="30"/>
          <w:szCs w:val="30"/>
          <w:lang w:eastAsia="zh-CN"/>
        </w:rPr>
        <w:t>。</w:t>
      </w:r>
    </w:p>
    <w:p>
      <w:pPr>
        <w:pStyle w:val="11"/>
        <w:ind w:left="0" w:leftChars="0" w:firstLine="750" w:firstLineChars="250"/>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上湾天隆公寓3</w:t>
      </w:r>
      <w:r>
        <w:rPr>
          <w:rFonts w:hint="eastAsia" w:ascii="仿宋" w:hAnsi="仿宋" w:eastAsia="仿宋"/>
          <w:sz w:val="30"/>
          <w:szCs w:val="30"/>
        </w:rPr>
        <w:t>部电梯更换曳引钢丝绳</w:t>
      </w:r>
      <w:r>
        <w:rPr>
          <w:rFonts w:hint="eastAsia" w:ascii="仿宋" w:hAnsi="仿宋" w:eastAsia="仿宋"/>
          <w:sz w:val="30"/>
          <w:szCs w:val="30"/>
          <w:lang w:eastAsia="zh-CN"/>
        </w:rPr>
        <w:t>、</w:t>
      </w:r>
      <w:r>
        <w:rPr>
          <w:rFonts w:hint="eastAsia" w:ascii="仿宋" w:hAnsi="仿宋" w:eastAsia="仿宋"/>
          <w:sz w:val="30"/>
          <w:szCs w:val="30"/>
          <w:lang w:val="en-US" w:eastAsia="zh-CN"/>
        </w:rPr>
        <w:t>曳引轮</w:t>
      </w:r>
      <w:r>
        <w:rPr>
          <w:rFonts w:hint="eastAsia" w:ascii="仿宋" w:hAnsi="仿宋" w:eastAsia="仿宋"/>
          <w:sz w:val="30"/>
          <w:szCs w:val="30"/>
        </w:rPr>
        <w:t>及</w:t>
      </w:r>
      <w:r>
        <w:rPr>
          <w:rFonts w:hint="eastAsia" w:ascii="仿宋" w:hAnsi="仿宋" w:eastAsia="仿宋"/>
          <w:sz w:val="30"/>
          <w:szCs w:val="30"/>
          <w:lang w:val="en-US" w:eastAsia="zh-CN"/>
        </w:rPr>
        <w:t>辅材、</w:t>
      </w:r>
      <w:r>
        <w:rPr>
          <w:rFonts w:hint="eastAsia" w:ascii="仿宋" w:hAnsi="仿宋" w:eastAsia="仿宋"/>
          <w:sz w:val="30"/>
          <w:szCs w:val="30"/>
        </w:rPr>
        <w:t>整机舒适平定性调整由乙方负责；</w:t>
      </w:r>
    </w:p>
    <w:p>
      <w:pPr>
        <w:pStyle w:val="11"/>
        <w:ind w:left="0" w:leftChars="0" w:firstLine="750" w:firstLineChars="250"/>
        <w:rPr>
          <w:rFonts w:hint="eastAsia" w:ascii="仿宋" w:hAnsi="仿宋" w:eastAsia="仿宋"/>
          <w:sz w:val="30"/>
          <w:szCs w:val="30"/>
        </w:rPr>
      </w:pPr>
      <w:r>
        <w:rPr>
          <w:rFonts w:hint="eastAsia" w:ascii="仿宋" w:hAnsi="仿宋" w:eastAsia="仿宋"/>
          <w:sz w:val="30"/>
          <w:szCs w:val="30"/>
        </w:rPr>
        <w:t>（三）须通过属地特种设备检验部门的检验，并具有检验相关资料。</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四）便于后期维护保养。</w:t>
      </w:r>
    </w:p>
    <w:p>
      <w:pPr>
        <w:pStyle w:val="11"/>
        <w:ind w:left="0" w:leftChars="0" w:firstLine="750" w:firstLineChars="250"/>
        <w:rPr>
          <w:rFonts w:hint="default" w:ascii="仿宋" w:hAnsi="仿宋" w:eastAsia="仿宋"/>
          <w:sz w:val="30"/>
          <w:szCs w:val="30"/>
          <w:lang w:val="en-US" w:eastAsia="zh-CN"/>
        </w:rPr>
      </w:pPr>
      <w:r>
        <w:rPr>
          <w:rFonts w:hint="eastAsia" w:ascii="仿宋" w:hAnsi="仿宋" w:eastAsia="仿宋"/>
          <w:sz w:val="30"/>
          <w:szCs w:val="30"/>
          <w:lang w:val="en-US" w:eastAsia="zh-CN"/>
        </w:rPr>
        <w:t>（五）有售后保障。</w:t>
      </w:r>
    </w:p>
    <w:p>
      <w:pPr>
        <w:spacing w:line="520" w:lineRule="exact"/>
        <w:ind w:firstLine="803" w:firstLineChars="2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四、其他或环境要求：</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（一）设施的运输、卸车、安装、调试、技术指导及旧设施的拆除均由乙方负责；</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（二）电梯钢丝绳及辅材到货安装更换前，乙方应通知采购方、甲方及有关部门进行到货验收；安装更换后进行竣工验收；</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（三）电梯钢丝绳及辅材到货安装更换前，乙方要按照甲方要求办理开工报告及安全组织措施等手续后方可施工；</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（四）乙方需提供电梯钢丝绳及辅材的合格证明及相关资料（包括电子版）各1套；</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（五）乙方要严格遵守甲方“设备管理办法”等相关规定完成竣工验收、结算等相关手续，并将更换下来的旧件由甲乙双方确认后移交于甲方；</w:t>
      </w:r>
    </w:p>
    <w:p>
      <w:pPr>
        <w:pStyle w:val="11"/>
        <w:ind w:left="0" w:leftChars="0" w:firstLine="750" w:firstLineChars="250"/>
        <w:rPr>
          <w:rFonts w:hint="default" w:ascii="仿宋" w:hAnsi="仿宋" w:eastAsia="仿宋"/>
          <w:sz w:val="30"/>
          <w:szCs w:val="30"/>
          <w:lang w:val="en-US" w:eastAsia="zh-CN"/>
        </w:rPr>
      </w:pPr>
      <w:r>
        <w:rPr>
          <w:rFonts w:hint="eastAsia" w:ascii="仿宋" w:hAnsi="仿宋" w:eastAsia="仿宋"/>
          <w:sz w:val="30"/>
          <w:szCs w:val="30"/>
          <w:lang w:val="en-US" w:eastAsia="zh-CN"/>
        </w:rPr>
        <w:t>（六）电梯钢丝绳及辅材到货及安装地点：上湾天隆公寓</w:t>
      </w:r>
    </w:p>
    <w:p>
      <w:pPr>
        <w:pStyle w:val="11"/>
        <w:ind w:left="0" w:leftChars="0" w:firstLine="750" w:firstLineChars="250"/>
        <w:rPr>
          <w:rFonts w:hint="eastAsia" w:ascii="仿宋" w:hAnsi="仿宋" w:eastAsia="仿宋"/>
          <w:sz w:val="30"/>
          <w:szCs w:val="30"/>
          <w:lang w:eastAsia="zh-CN"/>
        </w:rPr>
      </w:pPr>
      <w:r>
        <w:rPr>
          <w:rFonts w:hint="eastAsia" w:ascii="仿宋" w:hAnsi="仿宋" w:eastAsia="仿宋"/>
          <w:sz w:val="30"/>
          <w:szCs w:val="30"/>
          <w:lang w:val="en-US" w:eastAsia="zh-CN"/>
        </w:rPr>
        <w:t>（七）电梯钢丝绳及辅材到货、安装总工期：合同签定后60天。</w:t>
      </w:r>
    </w:p>
    <w:p>
      <w:pPr>
        <w:rPr>
          <w:rFonts w:hint="eastAsia"/>
        </w:rPr>
      </w:pPr>
    </w:p>
    <w:p>
      <w:pPr>
        <w:pStyle w:val="11"/>
        <w:ind w:left="0" w:leftChars="0" w:firstLine="360" w:firstLineChars="150"/>
        <w:rPr>
          <w:rFonts w:hint="eastAsia" w:ascii="仿宋" w:hAnsi="仿宋" w:eastAsia="仿宋"/>
          <w:sz w:val="30"/>
          <w:szCs w:val="30"/>
          <w:lang w:val="en-US" w:eastAsia="zh-CN"/>
        </w:rPr>
      </w:pPr>
      <w:r>
        <w:rPr>
          <w:rFonts w:hint="eastAsia"/>
          <w:i w:val="0"/>
          <w:iCs w:val="0"/>
          <w:caps w:val="0"/>
          <w:color w:val="333333"/>
          <w:spacing w:val="0"/>
          <w:sz w:val="24"/>
          <w:szCs w:val="24"/>
          <w:shd w:val="clear" w:fill="FFFFFF"/>
        </w:rPr>
        <w:t xml:space="preserve">   </w:t>
      </w:r>
      <w:r>
        <w:rPr>
          <w:rFonts w:hint="eastAsia" w:asciiTheme="minorEastAsia" w:hAnsiTheme="minorEastAsia" w:eastAsiaTheme="minorEastAsia" w:cstheme="minorEastAsia"/>
          <w:b/>
          <w:bCs/>
          <w:kern w:val="2"/>
          <w:sz w:val="32"/>
          <w:szCs w:val="32"/>
          <w:lang w:val="en-US" w:eastAsia="zh-CN" w:bidi="ar-SA"/>
        </w:rPr>
        <w:t>五、质量保证、付款方式及售后要求：</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（一）质量保证方面：符合国家三包规定，质保1年（通过双方验收后计算），质保期内的问题由乙方无偿负责解决；</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（二）付款方式：以工业买卖合同为准；</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（三）售后方面：设备出现故障时，甲方在通知乙方后应在2小时内响应。</w:t>
      </w:r>
    </w:p>
    <w:p>
      <w:pPr>
        <w:pStyle w:val="11"/>
        <w:ind w:left="0" w:leftChars="0" w:firstLine="360" w:firstLineChars="150"/>
        <w:rPr>
          <w:rFonts w:hint="eastAsia" w:ascii="仿宋" w:hAnsi="仿宋" w:eastAsia="仿宋"/>
          <w:sz w:val="30"/>
          <w:szCs w:val="30"/>
          <w:lang w:val="en-US" w:eastAsia="zh-CN"/>
        </w:rPr>
      </w:pPr>
      <w:r>
        <w:rPr>
          <w:rFonts w:hint="eastAsia" w:ascii="宋体" w:hAnsi="宋体" w:cs="宋体"/>
          <w:sz w:val="24"/>
          <w:lang w:val="en-US" w:eastAsia="zh-CN"/>
        </w:rPr>
        <w:t xml:space="preserve">     </w:t>
      </w:r>
    </w:p>
    <w:p>
      <w:pPr>
        <w:spacing w:line="400" w:lineRule="exact"/>
        <w:ind w:firstLine="320" w:firstLineChars="1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11"/>
        <w:ind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bookmarkStart w:id="0" w:name="_GoBack"/>
      <w:bookmarkEnd w:id="0"/>
    </w:p>
    <w:p>
      <w:pPr>
        <w:spacing w:beforeLines="100" w:afterLines="100"/>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签 字 审 批 页</w:t>
      </w:r>
    </w:p>
    <w:p>
      <w:pPr>
        <w:pStyle w:val="2"/>
        <w:ind w:left="420"/>
        <w:rPr>
          <w:rFonts w:asciiTheme="minorEastAsia" w:hAnsiTheme="minorEastAsia" w:eastAsiaTheme="minorEastAsia" w:cstheme="minorEastAsia"/>
        </w:rPr>
      </w:pPr>
    </w:p>
    <w:p>
      <w:pPr>
        <w:pStyle w:val="11"/>
        <w:spacing w:after="0"/>
        <w:ind w:left="0" w:leftChars="0" w:firstLine="0" w:firstLineChars="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使用方（章）：</w:t>
      </w:r>
      <w:r>
        <w:rPr>
          <w:rFonts w:hint="eastAsia" w:asciiTheme="minorEastAsia" w:hAnsiTheme="minorEastAsia" w:eastAsiaTheme="minorEastAsia" w:cstheme="minorEastAsia"/>
          <w:bCs/>
          <w:sz w:val="32"/>
          <w:szCs w:val="32"/>
        </w:rPr>
        <w:t xml:space="preserve">内蒙古神东天隆集团股份有限公司物业分公司   </w:t>
      </w:r>
    </w:p>
    <w:p>
      <w:pPr>
        <w:rPr>
          <w:rFonts w:asciiTheme="minorEastAsia" w:hAnsiTheme="minorEastAsia" w:eastAsiaTheme="minorEastAsia" w:cstheme="minorEastAsia"/>
          <w:bCs/>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pStyle w:val="2"/>
        <w:ind w:left="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rPr>
          <w:rFonts w:asciiTheme="minorEastAsia" w:hAnsiTheme="minorEastAsia" w:eastAsiaTheme="minorEastAsia" w:cstheme="minorEastAsia"/>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审核方（章）：内蒙古神东天隆集团股份有限公司机电动力部</w:t>
      </w:r>
    </w:p>
    <w:p>
      <w:pPr>
        <w:pStyle w:val="2"/>
        <w:ind w:left="0" w:leftChars="0"/>
        <w:rPr>
          <w:rFonts w:asciiTheme="minorEastAsia" w:hAnsiTheme="minorEastAsia" w:eastAsiaTheme="minorEastAsia" w:cstheme="minorEastAsia"/>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pStyle w:val="11"/>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20" rIns="91439" bIns="45720" upright="1"/>
                  </wps:wsp>
                </a:graphicData>
              </a:graphic>
            </wp:anchor>
          </w:drawing>
        </mc:Choice>
        <mc:Fallback>
          <w:pict>
            <v:shape id="文本框 2"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FN9TraAAAACwEAAA8AAAAAAAAAAQAgAAAAIgAAAGRycy9kb3du&#10;cmV2LnhtbFBLAQIUABQAAAAIAIdO4kA2FkrQxAEAAIIDAAAOAAAAAAAAAAEAIAAAACkBAABkcnMv&#10;ZTJvRG9jLnhtbFBLBQYAAAAABgAGAFkBAABfBQAAAAA=&#10;">
              <v:fill on="f" focussize="0,0"/>
              <v:stroke on="f"/>
              <v:imagedata o:title=""/>
              <o:lock v:ext="edit" aspectratio="f"/>
              <v:textbox inset="7.19992125984252pt,1.27mm,7.19992125984252pt,1.27mm">
                <w:txbxContent>
                  <w:p>
                    <w:r>
                      <w:rPr>
                        <w:rFonts w:hint="eastAsia"/>
                      </w:rPr>
                      <w:t>使用方小签：</w:t>
                    </w:r>
                  </w:p>
                  <w:p/>
                  <w:p>
                    <w:r>
                      <w:rPr>
                        <w:rFonts w:hint="eastAsia"/>
                      </w:rPr>
                      <w:t>审核方小签：</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zllNTU1YzQ4YjQ5NzI4NmIwOTFiNDQ5OGY3NzUifQ=="/>
  </w:docVars>
  <w:rsids>
    <w:rsidRoot w:val="29FF6835"/>
    <w:rsid w:val="00047553"/>
    <w:rsid w:val="00051F0C"/>
    <w:rsid w:val="00063EC6"/>
    <w:rsid w:val="001F4F81"/>
    <w:rsid w:val="00242CF8"/>
    <w:rsid w:val="002A18B7"/>
    <w:rsid w:val="002E546F"/>
    <w:rsid w:val="003032D1"/>
    <w:rsid w:val="00326CE2"/>
    <w:rsid w:val="003776AE"/>
    <w:rsid w:val="004325CA"/>
    <w:rsid w:val="004C63CC"/>
    <w:rsid w:val="00523029"/>
    <w:rsid w:val="005C2227"/>
    <w:rsid w:val="006436B1"/>
    <w:rsid w:val="006E67A2"/>
    <w:rsid w:val="00725BC3"/>
    <w:rsid w:val="00740FF7"/>
    <w:rsid w:val="00762037"/>
    <w:rsid w:val="007D39A3"/>
    <w:rsid w:val="00837BEE"/>
    <w:rsid w:val="00944A97"/>
    <w:rsid w:val="00980E07"/>
    <w:rsid w:val="00990CA2"/>
    <w:rsid w:val="00A64BD5"/>
    <w:rsid w:val="00B03F7D"/>
    <w:rsid w:val="00B47F5B"/>
    <w:rsid w:val="00BB1DDC"/>
    <w:rsid w:val="00BE415C"/>
    <w:rsid w:val="00C00EEF"/>
    <w:rsid w:val="00C30E9B"/>
    <w:rsid w:val="00CE6E9D"/>
    <w:rsid w:val="00D1786F"/>
    <w:rsid w:val="00D74AD5"/>
    <w:rsid w:val="00DA06FD"/>
    <w:rsid w:val="00DF6504"/>
    <w:rsid w:val="00E24ABB"/>
    <w:rsid w:val="00E474AE"/>
    <w:rsid w:val="00E5753C"/>
    <w:rsid w:val="00EE1A0C"/>
    <w:rsid w:val="00EF53B1"/>
    <w:rsid w:val="00F55F46"/>
    <w:rsid w:val="00FA157B"/>
    <w:rsid w:val="00FD262C"/>
    <w:rsid w:val="00FE3ACB"/>
    <w:rsid w:val="00FF0BE2"/>
    <w:rsid w:val="02131202"/>
    <w:rsid w:val="13782F3B"/>
    <w:rsid w:val="14B21712"/>
    <w:rsid w:val="1B915FA6"/>
    <w:rsid w:val="23851FDE"/>
    <w:rsid w:val="29FF6835"/>
    <w:rsid w:val="38724F1A"/>
    <w:rsid w:val="3D606F05"/>
    <w:rsid w:val="514813E1"/>
    <w:rsid w:val="538C3C66"/>
    <w:rsid w:val="5E0A4A65"/>
    <w:rsid w:val="62C5556D"/>
    <w:rsid w:val="66D103A8"/>
    <w:rsid w:val="6803059B"/>
    <w:rsid w:val="69F627EE"/>
    <w:rsid w:val="6CB5251A"/>
    <w:rsid w:val="6F312BDD"/>
    <w:rsid w:val="73817A0B"/>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Plain Text"/>
    <w:basedOn w:val="1"/>
    <w:link w:val="19"/>
    <w:qFormat/>
    <w:uiPriority w:val="99"/>
    <w:rPr>
      <w:rFonts w:ascii="宋体" w:hAnsi="Courier New"/>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4"/>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7">
    <w:name w:val="批注框文本 Char"/>
    <w:basedOn w:val="14"/>
    <w:link w:val="8"/>
    <w:qFormat/>
    <w:uiPriority w:val="0"/>
    <w:rPr>
      <w:rFonts w:ascii="Times New Roman" w:hAnsi="Times New Roman" w:eastAsia="宋体" w:cs="Times New Roman"/>
      <w:kern w:val="2"/>
      <w:sz w:val="18"/>
      <w:szCs w:val="18"/>
    </w:rPr>
  </w:style>
  <w:style w:type="paragraph" w:styleId="18">
    <w:name w:val="List Paragraph"/>
    <w:basedOn w:val="1"/>
    <w:unhideWhenUsed/>
    <w:qFormat/>
    <w:uiPriority w:val="99"/>
    <w:pPr>
      <w:ind w:firstLine="420" w:firstLineChars="200"/>
    </w:pPr>
  </w:style>
  <w:style w:type="character" w:customStyle="1" w:styleId="19">
    <w:name w:val="纯文本 Char"/>
    <w:basedOn w:val="14"/>
    <w:link w:val="7"/>
    <w:qFormat/>
    <w:uiPriority w:val="99"/>
    <w:rPr>
      <w:rFonts w:ascii="宋体" w:hAnsi="Courier New" w:eastAsia="宋体" w:cs="Times New Roman"/>
      <w:kern w:val="2"/>
      <w:sz w:val="21"/>
    </w:rPr>
  </w:style>
  <w:style w:type="paragraph" w:customStyle="1" w:styleId="20">
    <w:name w:val="自控1"/>
    <w:basedOn w:val="1"/>
    <w:qFormat/>
    <w:uiPriority w:val="0"/>
    <w:pPr>
      <w:widowControl/>
      <w:topLinePunct/>
      <w:spacing w:line="312" w:lineRule="exact"/>
      <w:ind w:left="879" w:hanging="454"/>
    </w:pPr>
    <w:rPr>
      <w:rFonts w:cs="Arial"/>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CFA5D-49C3-424B-B982-CDE62EA0168C}">
  <ds:schemaRefs/>
</ds:datastoreItem>
</file>

<file path=docProps/app.xml><?xml version="1.0" encoding="utf-8"?>
<Properties xmlns="http://schemas.openxmlformats.org/officeDocument/2006/extended-properties" xmlns:vt="http://schemas.openxmlformats.org/officeDocument/2006/docPropsVTypes">
  <Template>Normal</Template>
  <Pages>5</Pages>
  <Words>1014</Words>
  <Characters>1060</Characters>
  <Lines>6</Lines>
  <Paragraphs>1</Paragraphs>
  <TotalTime>2</TotalTime>
  <ScaleCrop>false</ScaleCrop>
  <LinksUpToDate>false</LinksUpToDate>
  <CharactersWithSpaces>1233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2022-06-06T07:56:00Z</dcterms:created>
  <dc:creator>赵耀</dc:creator>
  <cp:lastModifiedBy>小可</cp:lastModifiedBy>
  <cp:lastPrinted>2023-06-30T01:23:11Z</cp:lastPrinted>
  <dcterms:modified xsi:type="dcterms:W3CDTF">2023-06-30T01:23:27Z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9AEC4B5DACF04AEBA21D605F8582E7BE_13</vt:lpwstr>
  </property>
</Properties>
</file>