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eastAsiaTheme="minorEastAsia" w:cstheme="minorEastAsia"/>
          <w:kern w:val="2"/>
          <w:sz w:val="48"/>
          <w:szCs w:val="48"/>
          <w:lang w:val="en-US" w:eastAsia="zh-CN" w:bidi="ar-SA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kern w:val="2"/>
          <w:sz w:val="48"/>
          <w:szCs w:val="48"/>
          <w:lang w:val="en-US" w:eastAsia="zh-CN" w:bidi="ar-SA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kern w:val="2"/>
          <w:sz w:val="48"/>
          <w:szCs w:val="4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48"/>
          <w:szCs w:val="48"/>
          <w:lang w:val="en-US" w:eastAsia="zh-CN" w:bidi="ar-SA"/>
        </w:rPr>
        <w:t>大海则煤矿</w:t>
      </w:r>
      <w:r>
        <w:rPr>
          <w:rFonts w:hint="eastAsia" w:asciiTheme="minorEastAsia" w:hAnsiTheme="minorEastAsia" w:eastAsiaTheme="minorEastAsia" w:cstheme="minorEastAsia"/>
          <w:kern w:val="2"/>
          <w:sz w:val="48"/>
          <w:szCs w:val="48"/>
          <w:lang w:val="en-US" w:eastAsia="zh-CN" w:bidi="ar-SA"/>
        </w:rPr>
        <w:t>井下</w:t>
      </w:r>
      <w:r>
        <w:rPr>
          <w:rFonts w:hint="eastAsia" w:asciiTheme="minorEastAsia" w:hAnsiTheme="minorEastAsia" w:cstheme="minorEastAsia"/>
          <w:kern w:val="2"/>
          <w:sz w:val="48"/>
          <w:szCs w:val="48"/>
          <w:lang w:val="en-US" w:eastAsia="zh-CN" w:bidi="ar-SA"/>
        </w:rPr>
        <w:t>触发式</w:t>
      </w:r>
      <w:r>
        <w:rPr>
          <w:rFonts w:hint="eastAsia" w:asciiTheme="minorEastAsia" w:hAnsiTheme="minorEastAsia" w:eastAsiaTheme="minorEastAsia" w:cstheme="minorEastAsia"/>
          <w:kern w:val="2"/>
          <w:sz w:val="48"/>
          <w:szCs w:val="48"/>
          <w:lang w:val="en-US" w:eastAsia="zh-CN" w:bidi="ar-SA"/>
        </w:rPr>
        <w:t>自动隔爆装置</w:t>
      </w:r>
    </w:p>
    <w:p>
      <w:pPr>
        <w:jc w:val="center"/>
        <w:rPr>
          <w:rFonts w:hint="default" w:asciiTheme="minorEastAsia" w:hAnsiTheme="minorEastAsia" w:eastAsiaTheme="minorEastAsia" w:cstheme="minorEastAsia"/>
          <w:kern w:val="2"/>
          <w:sz w:val="48"/>
          <w:szCs w:val="4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48"/>
          <w:szCs w:val="48"/>
          <w:lang w:val="en-US" w:eastAsia="zh-CN" w:bidi="ar-SA"/>
        </w:rPr>
        <w:t>技术要求</w:t>
      </w:r>
    </w:p>
    <w:p>
      <w:pPr>
        <w:jc w:val="center"/>
        <w:rPr>
          <w:rFonts w:hint="eastAsia" w:asciiTheme="minorEastAsia" w:hAnsiTheme="minorEastAsia" w:eastAsiaTheme="minorEastAsia" w:cstheme="minorEastAsia"/>
          <w:kern w:val="2"/>
          <w:sz w:val="40"/>
          <w:szCs w:val="40"/>
          <w:lang w:val="en-US" w:eastAsia="zh-CN" w:bidi="ar-SA"/>
        </w:rPr>
      </w:pPr>
    </w:p>
    <w:p>
      <w:pPr>
        <w:pStyle w:val="7"/>
        <w:rPr>
          <w:rFonts w:hint="eastAsia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kern w:val="2"/>
          <w:sz w:val="48"/>
          <w:szCs w:val="48"/>
          <w:lang w:val="en-US" w:eastAsia="zh-CN" w:bidi="ar-SA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kern w:val="2"/>
          <w:sz w:val="48"/>
          <w:szCs w:val="48"/>
          <w:lang w:val="en-US" w:eastAsia="zh-CN" w:bidi="ar-SA"/>
        </w:rPr>
      </w:pPr>
    </w:p>
    <w:p>
      <w:pPr>
        <w:pStyle w:val="2"/>
        <w:rPr>
          <w:rFonts w:hint="eastAsia" w:ascii="楷体_GB2312" w:hAnsi="仿宋" w:eastAsia="楷体_GB2312"/>
          <w:sz w:val="44"/>
          <w:szCs w:val="44"/>
        </w:rPr>
      </w:pPr>
    </w:p>
    <w:p>
      <w:pPr>
        <w:pStyle w:val="3"/>
        <w:rPr>
          <w:rFonts w:hint="eastAsia"/>
        </w:rPr>
      </w:pPr>
    </w:p>
    <w:p>
      <w:pPr>
        <w:rPr>
          <w:rFonts w:hint="eastAsia" w:ascii="楷体_GB2312" w:hAnsi="仿宋" w:eastAsia="楷体_GB2312"/>
          <w:sz w:val="44"/>
          <w:szCs w:val="44"/>
        </w:rPr>
      </w:pPr>
    </w:p>
    <w:p>
      <w:pPr>
        <w:pStyle w:val="7"/>
        <w:rPr>
          <w:rFonts w:hint="eastAsia" w:ascii="楷体_GB2312" w:hAnsi="仿宋" w:eastAsia="楷体_GB2312"/>
          <w:sz w:val="24"/>
        </w:rPr>
      </w:pPr>
    </w:p>
    <w:p>
      <w:pPr>
        <w:pStyle w:val="7"/>
        <w:rPr>
          <w:rFonts w:hint="eastAsia" w:ascii="楷体_GB2312" w:hAnsi="仿宋" w:eastAsia="楷体_GB2312"/>
          <w:sz w:val="24"/>
        </w:rPr>
      </w:pPr>
    </w:p>
    <w:p>
      <w:pPr>
        <w:pStyle w:val="7"/>
        <w:rPr>
          <w:rFonts w:hint="eastAsia" w:ascii="楷体_GB2312" w:hAnsi="仿宋" w:eastAsia="楷体_GB2312"/>
          <w:sz w:val="24"/>
        </w:rPr>
      </w:pPr>
    </w:p>
    <w:p>
      <w:pPr>
        <w:pStyle w:val="7"/>
        <w:rPr>
          <w:rFonts w:hint="eastAsia" w:ascii="楷体_GB2312" w:hAnsi="仿宋" w:eastAsia="楷体_GB2312"/>
          <w:sz w:val="24"/>
        </w:rPr>
      </w:pPr>
    </w:p>
    <w:p>
      <w:pPr>
        <w:pStyle w:val="7"/>
        <w:rPr>
          <w:rFonts w:hint="eastAsia" w:ascii="楷体_GB2312" w:hAnsi="仿宋" w:eastAsia="楷体_GB2312"/>
          <w:sz w:val="24"/>
        </w:rPr>
      </w:pPr>
    </w:p>
    <w:p>
      <w:pPr>
        <w:pStyle w:val="7"/>
        <w:rPr>
          <w:rFonts w:hint="eastAsia" w:ascii="楷体_GB2312" w:hAnsi="仿宋" w:eastAsia="楷体_GB2312"/>
          <w:sz w:val="24"/>
        </w:rPr>
      </w:pPr>
    </w:p>
    <w:p>
      <w:pPr>
        <w:pStyle w:val="7"/>
        <w:rPr>
          <w:rFonts w:hint="eastAsia" w:ascii="楷体_GB2312" w:hAnsi="仿宋" w:eastAsia="楷体_GB2312"/>
          <w:sz w:val="24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 w:firstLine="2400" w:firstLineChars="600"/>
        <w:jc w:val="left"/>
        <w:rPr>
          <w:rFonts w:hint="default"/>
          <w:b w:val="0"/>
          <w:bCs w:val="0"/>
          <w:sz w:val="40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40"/>
          <w:szCs w:val="40"/>
          <w:u w:val="none"/>
          <w:lang w:val="en-US" w:eastAsia="zh-CN"/>
        </w:rPr>
        <w:t>安质环部：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default"/>
          <w:b w:val="0"/>
          <w:bCs w:val="0"/>
          <w:sz w:val="40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40"/>
          <w:szCs w:val="40"/>
          <w:u w:val="none"/>
          <w:lang w:val="en-US" w:eastAsia="zh-CN"/>
        </w:rPr>
        <w:t xml:space="preserve">  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 w:firstLine="2400" w:firstLineChars="600"/>
        <w:jc w:val="left"/>
        <w:rPr>
          <w:rFonts w:hint="eastAsia"/>
          <w:b w:val="0"/>
          <w:bCs w:val="0"/>
          <w:sz w:val="40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40"/>
          <w:szCs w:val="40"/>
          <w:u w:val="none"/>
          <w:lang w:val="en-US" w:eastAsia="zh-CN"/>
        </w:rPr>
        <w:t>总工程师：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/>
          <w:b w:val="0"/>
          <w:bCs w:val="0"/>
          <w:sz w:val="40"/>
          <w:szCs w:val="40"/>
          <w:u w:val="none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 w:firstLine="2400" w:firstLineChars="600"/>
        <w:jc w:val="left"/>
        <w:rPr>
          <w:rFonts w:hint="eastAsia"/>
          <w:b w:val="0"/>
          <w:bCs w:val="0"/>
          <w:sz w:val="40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40"/>
          <w:szCs w:val="40"/>
          <w:u w:val="none"/>
          <w:lang w:val="en-US" w:eastAsia="zh-CN"/>
        </w:rPr>
        <w:t>通 风 队：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/>
          <w:b w:val="0"/>
          <w:bCs w:val="0"/>
          <w:sz w:val="40"/>
          <w:szCs w:val="40"/>
          <w:u w:val="none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2400" w:firstLineChars="600"/>
        <w:jc w:val="both"/>
        <w:rPr>
          <w:rFonts w:hint="default"/>
          <w:b w:val="0"/>
          <w:bCs w:val="0"/>
          <w:sz w:val="40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40"/>
          <w:szCs w:val="40"/>
          <w:u w:val="none"/>
          <w:lang w:val="en-US" w:eastAsia="zh-CN"/>
        </w:rPr>
        <w:t>编制时间：2023年6月7日</w:t>
      </w:r>
    </w:p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br w:type="page"/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煤矿</w:t>
      </w:r>
      <w:r>
        <w:rPr>
          <w:b/>
          <w:bCs/>
          <w:sz w:val="32"/>
          <w:szCs w:val="32"/>
        </w:rPr>
        <w:t>井下</w:t>
      </w:r>
      <w:r>
        <w:rPr>
          <w:rFonts w:hint="eastAsia"/>
          <w:b/>
          <w:bCs/>
          <w:sz w:val="32"/>
          <w:szCs w:val="32"/>
          <w:lang w:val="en-US" w:eastAsia="zh-CN"/>
        </w:rPr>
        <w:t>触发式</w:t>
      </w:r>
      <w:r>
        <w:rPr>
          <w:b/>
          <w:bCs/>
          <w:sz w:val="32"/>
          <w:szCs w:val="32"/>
        </w:rPr>
        <w:t>自动隔爆装置技术</w:t>
      </w:r>
      <w:r>
        <w:rPr>
          <w:rFonts w:hint="eastAsia"/>
          <w:b/>
          <w:bCs/>
          <w:sz w:val="32"/>
          <w:szCs w:val="32"/>
          <w:lang w:val="en-US" w:eastAsia="zh-CN"/>
        </w:rPr>
        <w:t>要求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一、装置使用条件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0" w:firstLineChars="200"/>
      </w:pPr>
      <w:r>
        <w:rPr>
          <w:rFonts w:hint="eastAsia"/>
          <w:sz w:val="28"/>
          <w:szCs w:val="28"/>
          <w:lang w:val="en-US" w:eastAsia="zh-CN"/>
        </w:rPr>
        <w:t>1、触发式自动隔爆装置由冲击波传动装置、触发装置、主体装置等组成。</w:t>
      </w:r>
      <w:r>
        <w:rPr>
          <w:sz w:val="28"/>
          <w:szCs w:val="28"/>
        </w:rPr>
        <w:t>用于井下主要和辅助阻止爆炸、防止爆炸扩大</w:t>
      </w:r>
      <w:r>
        <w:t>。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2、自动隔爆装置工作环境及防护条件满足下列要求：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①环境温度：0-45</w:t>
      </w:r>
      <w:r>
        <w:rPr>
          <w:rFonts w:hint="eastAsia" w:ascii="宋体" w:hAnsi="宋体" w:eastAsia="宋体" w:cs="宋体"/>
        </w:rPr>
        <w:t>℃</w:t>
      </w:r>
      <w:r>
        <w:rPr>
          <w:rFonts w:hint="eastAsia" w:ascii="宋体" w:hAnsi="宋体" w:eastAsia="宋体" w:cs="宋体"/>
          <w:lang w:val="en-US" w:eastAsia="zh-CN"/>
        </w:rPr>
        <w:t xml:space="preserve"> ；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②相对湿度：98%以下；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③大气压力：80-101kpa。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二、执行标准 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1、《煤矿安全规程》2022版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2、MT694—1997煤矿用自动隔爆装置通用技术条件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3、GB13532-1992干粉灭火剂通用技术条件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4、GA578-2005 超细干粉灭火剂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三、技术要求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1、自动隔爆装置技术指标达到下列要求：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①装置启动压力：≥0.016Mpa；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②隔爆介质：ABC超细干粉，灭火效能≤49g/m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 xml:space="preserve">3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（需提供隔爆介质的第三方检验报告，且与自动隔爆装置备案的灭火粉厂家检验报告一致）；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③隔爆介质喷出距离：≥30m（介质容器斜口）；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④隔爆介质悬浮时间：≥6min；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⑤隔爆介质质量：35kg；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instrText xml:space="preserve"> = 6 \* GB3 \* MERGEFORMAT </w:instrTex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t>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高压气腔压力：12±4Mpa（下置压力表,便于观察且安全性更高）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2、喷撒器技术指标达到下列要求：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①喷撒滞后时间：≤10ms；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②成雾时间：≤118ms；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③雾面持续时间：＞1000ms；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④喷撒效率：≥98.6%。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四、质保要求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0" w:firstLineChars="200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sz w:val="28"/>
          <w:szCs w:val="28"/>
        </w:rPr>
        <w:t>质保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在</w:t>
      </w:r>
      <w:r>
        <w:rPr>
          <w:sz w:val="28"/>
          <w:szCs w:val="28"/>
        </w:rPr>
        <w:t>质保期内因产品质量所产生的问题由</w:t>
      </w:r>
      <w:r>
        <w:rPr>
          <w:rFonts w:hint="eastAsia"/>
          <w:sz w:val="28"/>
          <w:szCs w:val="28"/>
          <w:lang w:eastAsia="zh-CN"/>
        </w:rPr>
        <w:t>中标单位</w:t>
      </w:r>
      <w:r>
        <w:rPr>
          <w:sz w:val="28"/>
          <w:szCs w:val="28"/>
        </w:rPr>
        <w:t>负责免费保修，质保期满后，</w:t>
      </w:r>
      <w:r>
        <w:rPr>
          <w:rFonts w:hint="eastAsia"/>
          <w:sz w:val="28"/>
          <w:szCs w:val="28"/>
          <w:lang w:eastAsia="zh-CN"/>
        </w:rPr>
        <w:t>中标单位</w:t>
      </w:r>
      <w:r>
        <w:rPr>
          <w:sz w:val="28"/>
          <w:szCs w:val="28"/>
        </w:rPr>
        <w:t>为该产品提供终身技术服务，并确保备品、配件及时提供</w:t>
      </w:r>
      <w:r>
        <w:rPr>
          <w:rFonts w:hint="eastAsia"/>
          <w:sz w:val="28"/>
          <w:szCs w:val="28"/>
          <w:lang w:eastAsia="zh-CN"/>
        </w:rPr>
        <w:t>，按市场价值收取配件费</w:t>
      </w:r>
      <w:r>
        <w:rPr>
          <w:sz w:val="28"/>
          <w:szCs w:val="28"/>
        </w:rPr>
        <w:t>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  <w:lang w:eastAsia="zh-CN"/>
        </w:rPr>
        <w:t>中标单位</w:t>
      </w:r>
      <w:r>
        <w:rPr>
          <w:sz w:val="28"/>
          <w:szCs w:val="28"/>
        </w:rPr>
        <w:t>为使设备能正常安装、调试、运行、维护及检修，应提供相应技术培训;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0" w:firstLineChars="200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sz w:val="28"/>
          <w:szCs w:val="28"/>
        </w:rPr>
        <w:t>井下初次安装，</w:t>
      </w:r>
      <w:r>
        <w:rPr>
          <w:rFonts w:hint="eastAsia"/>
          <w:sz w:val="28"/>
          <w:szCs w:val="28"/>
          <w:lang w:eastAsia="zh-CN"/>
        </w:rPr>
        <w:t>中标单位</w:t>
      </w:r>
      <w:r>
        <w:rPr>
          <w:sz w:val="28"/>
          <w:szCs w:val="28"/>
        </w:rPr>
        <w:t>应进行现场</w:t>
      </w:r>
      <w:r>
        <w:rPr>
          <w:rFonts w:hint="eastAsia"/>
          <w:sz w:val="28"/>
          <w:szCs w:val="28"/>
          <w:lang w:eastAsia="zh-CN"/>
        </w:rPr>
        <w:t>指导</w:t>
      </w:r>
      <w:r>
        <w:rPr>
          <w:sz w:val="28"/>
          <w:szCs w:val="28"/>
        </w:rPr>
        <w:t>安装。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4、经过权威资质机构认证售后服务管理模式，并取得服务认证证书 GB/T27922-2011《商品售后服务评价体系》。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五、售后服务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1、</w:t>
      </w:r>
      <w:r>
        <w:rPr>
          <w:sz w:val="28"/>
          <w:szCs w:val="28"/>
        </w:rPr>
        <w:t xml:space="preserve">故障问题响应时间∶ </w:t>
      </w:r>
      <w:r>
        <w:rPr>
          <w:rFonts w:hint="eastAsia"/>
          <w:sz w:val="28"/>
          <w:szCs w:val="28"/>
          <w:lang w:eastAsia="zh-CN"/>
        </w:rPr>
        <w:t>中标单位</w:t>
      </w:r>
      <w:r>
        <w:rPr>
          <w:sz w:val="28"/>
          <w:szCs w:val="28"/>
        </w:rPr>
        <w:t xml:space="preserve"> 4 小时内做出响应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并指导矿方解决故障问题</w:t>
      </w:r>
      <w:r>
        <w:rPr>
          <w:sz w:val="28"/>
          <w:szCs w:val="28"/>
        </w:rPr>
        <w:t>。</w:t>
      </w:r>
      <w:r>
        <w:rPr>
          <w:rFonts w:hint="eastAsia"/>
          <w:sz w:val="28"/>
          <w:szCs w:val="28"/>
          <w:lang w:val="en-US" w:eastAsia="zh-CN"/>
        </w:rPr>
        <w:t>如不能及时解决，中标单位需及时到达现场解决故障问题。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出现产品质量、技术问题时，重大问题 8小时、一般问题 4 小时内做出答复，如需到达现场技术服务，时间为</w:t>
      </w:r>
      <w:r>
        <w:rPr>
          <w:rFonts w:hint="eastAsia"/>
          <w:sz w:val="28"/>
          <w:szCs w:val="28"/>
          <w:lang w:eastAsia="zh-CN"/>
        </w:rPr>
        <w:t>中标单位</w:t>
      </w:r>
      <w:r>
        <w:rPr>
          <w:sz w:val="28"/>
          <w:szCs w:val="28"/>
        </w:rPr>
        <w:t>接到需方通知后24 小时达到现场</w:t>
      </w:r>
      <w:r>
        <w:rPr>
          <w:rFonts w:hint="eastAsia"/>
          <w:sz w:val="28"/>
          <w:szCs w:val="28"/>
          <w:lang w:val="en-US" w:eastAsia="zh-CN"/>
        </w:rPr>
        <w:t>解决质量、技术问题，确保自动隔爆装置正常使用</w:t>
      </w:r>
      <w:bookmarkStart w:id="0" w:name="_GoBack"/>
      <w:bookmarkEnd w:id="0"/>
      <w:r>
        <w:rPr>
          <w:sz w:val="28"/>
          <w:szCs w:val="28"/>
        </w:rPr>
        <w:t>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六、</w:t>
      </w:r>
      <w:r>
        <w:rPr>
          <w:sz w:val="28"/>
          <w:szCs w:val="28"/>
        </w:rPr>
        <w:t>资料交付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sz w:val="28"/>
          <w:szCs w:val="28"/>
        </w:rPr>
        <w:t>随机附带技术说明书</w:t>
      </w:r>
      <w:r>
        <w:rPr>
          <w:rFonts w:hint="eastAsia"/>
          <w:sz w:val="28"/>
          <w:szCs w:val="28"/>
          <w:u w:val="none"/>
          <w:lang w:val="en-US" w:eastAsia="zh-CN"/>
        </w:rPr>
        <w:t>每台一</w:t>
      </w:r>
      <w:r>
        <w:rPr>
          <w:sz w:val="28"/>
          <w:szCs w:val="28"/>
        </w:rPr>
        <w:t>套。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0" w:firstLineChars="200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提供的资料内容明细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sz w:val="28"/>
          <w:szCs w:val="28"/>
        </w:rPr>
        <w:t>隔爆性能试验报告、说明书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检验报告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合格证、隔爆介质环评证书、矿用煤安标志证</w:t>
      </w:r>
      <w:r>
        <w:rPr>
          <w:rFonts w:hint="eastAsia"/>
          <w:sz w:val="28"/>
          <w:szCs w:val="28"/>
          <w:lang w:val="en-US" w:eastAsia="zh-CN"/>
        </w:rPr>
        <w:t>书</w:t>
      </w:r>
      <w:r>
        <w:rPr>
          <w:sz w:val="28"/>
          <w:szCs w:val="28"/>
        </w:rPr>
        <w:t>。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七、其他要求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  <w:lang w:eastAsia="zh-CN"/>
        </w:rPr>
        <w:t>中标单位</w:t>
      </w:r>
      <w:r>
        <w:rPr>
          <w:sz w:val="28"/>
          <w:szCs w:val="28"/>
        </w:rPr>
        <w:t>所有设备及附件都有固定铭牌，铭牌四角用铆钉固定，铭牌不易损坏，标志醒目、整齐、美观。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534" w:right="-20"/>
        <w:jc w:val="left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  <w:lang w:eastAsia="zh-CN"/>
        </w:rPr>
        <w:t>中标单位</w:t>
      </w:r>
      <w:r>
        <w:rPr>
          <w:sz w:val="28"/>
          <w:szCs w:val="28"/>
        </w:rPr>
        <w:t>对设备进行妥善的油漆或其他有效的防锈防腐处理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534" w:right="-2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供货方必须提供有效期内的型号为 ZGJFH35 的矿用产品安全标志证书（要求证书获得时间半年以上）、国家安全生产重庆矿用设备检测检验中心出具的检验报告以及 与供货设备相关的 ISO9001 质量管理体系认证证书。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Yzk2ODNiNmI3NDg4MTcwMWQ1YzY0OTNkMWVjMDkifQ=="/>
  </w:docVars>
  <w:rsids>
    <w:rsidRoot w:val="00000000"/>
    <w:rsid w:val="090A2511"/>
    <w:rsid w:val="0B5F0F75"/>
    <w:rsid w:val="0C932CD6"/>
    <w:rsid w:val="0FA31CF0"/>
    <w:rsid w:val="1095707B"/>
    <w:rsid w:val="118A3E98"/>
    <w:rsid w:val="15CE2376"/>
    <w:rsid w:val="19FB0033"/>
    <w:rsid w:val="1A647EF1"/>
    <w:rsid w:val="1B1C6A4E"/>
    <w:rsid w:val="1BEA41FC"/>
    <w:rsid w:val="23A304A3"/>
    <w:rsid w:val="248A7CF7"/>
    <w:rsid w:val="31CB1E33"/>
    <w:rsid w:val="32576608"/>
    <w:rsid w:val="353F14DA"/>
    <w:rsid w:val="35CF5DAB"/>
    <w:rsid w:val="361048E6"/>
    <w:rsid w:val="39C55864"/>
    <w:rsid w:val="3CBE7C91"/>
    <w:rsid w:val="3FAB5241"/>
    <w:rsid w:val="42B42C13"/>
    <w:rsid w:val="4AEE6AC8"/>
    <w:rsid w:val="51B16FF5"/>
    <w:rsid w:val="51B44220"/>
    <w:rsid w:val="52024D5A"/>
    <w:rsid w:val="52C24196"/>
    <w:rsid w:val="53344136"/>
    <w:rsid w:val="54DB517D"/>
    <w:rsid w:val="551F7A41"/>
    <w:rsid w:val="568C51E1"/>
    <w:rsid w:val="5897495D"/>
    <w:rsid w:val="58AA219A"/>
    <w:rsid w:val="5B7B4BB1"/>
    <w:rsid w:val="5BEF6119"/>
    <w:rsid w:val="61A3479C"/>
    <w:rsid w:val="61DC1045"/>
    <w:rsid w:val="64FA5BE8"/>
    <w:rsid w:val="666E1D7C"/>
    <w:rsid w:val="67F56879"/>
    <w:rsid w:val="6CCA6B20"/>
    <w:rsid w:val="712B44A2"/>
    <w:rsid w:val="71B8107E"/>
    <w:rsid w:val="71E4325D"/>
    <w:rsid w:val="736B093E"/>
    <w:rsid w:val="745A3B76"/>
    <w:rsid w:val="774E298C"/>
    <w:rsid w:val="775841FE"/>
    <w:rsid w:val="77CA3902"/>
    <w:rsid w:val="79C00E0A"/>
    <w:rsid w:val="7AFD68DC"/>
    <w:rsid w:val="7B2051B6"/>
    <w:rsid w:val="7CEF24C7"/>
    <w:rsid w:val="7D177C4B"/>
    <w:rsid w:val="7F53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60" w:lineRule="auto"/>
      <w:outlineLvl w:val="4"/>
    </w:pPr>
    <w:rPr>
      <w:rFonts w:ascii="Times New Roman" w:hAnsi="Times New Roman" w:eastAsia="宋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00" w:lineRule="exact"/>
    </w:pPr>
    <w:rPr>
      <w:rFonts w:eastAsia="仿宋_GB2312" w:asciiTheme="minorHAnsi" w:hAnsiTheme="minorHAnsi" w:cstheme="minorBidi"/>
      <w:sz w:val="28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sz w:val="21"/>
      <w:szCs w:val="22"/>
      <w:lang w:val="en-US" w:eastAsia="zh-CN" w:bidi="ar-SA"/>
    </w:rPr>
  </w:style>
  <w:style w:type="paragraph" w:styleId="5">
    <w:name w:val="Body Text Indent"/>
    <w:basedOn w:val="1"/>
    <w:next w:val="3"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5"/>
    <w:qFormat/>
    <w:uiPriority w:val="0"/>
    <w:pPr>
      <w:ind w:firstLine="42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1001</Words>
  <Characters>1115</Characters>
  <Lines>0</Lines>
  <Paragraphs>0</Paragraphs>
  <TotalTime>207</TotalTime>
  <ScaleCrop>false</ScaleCrop>
  <LinksUpToDate>false</LinksUpToDate>
  <CharactersWithSpaces>1154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2021-04-09T00:00:00Z</dcterms:created>
  <dc:creator>程</dc:creator>
  <cp:lastModifiedBy>0927</cp:lastModifiedBy>
  <cp:lastPrinted>2023-06-08T01:38:00Z</cp:lastPrinted>
  <dcterms:modified xsi:type="dcterms:W3CDTF">2023-06-25T08:33:26Z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ECB51FFB3BFC4AEBB94510D995906674</vt:lpwstr>
  </property>
</Properties>
</file>