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wordWrap w:val="0"/>
        <w:ind w:left="421" w:hanging="421" w:hangingChars="131"/>
        <w:jc w:val="right"/>
        <w:rPr>
          <w:rFonts w:ascii="仿宋" w:hAnsi="仿宋" w:eastAsia="仿宋" w:cs="仿宋"/>
          <w:b/>
          <w:sz w:val="72"/>
          <w:szCs w:val="7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编号：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DHZ-202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-JJJH-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030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</w:p>
    <w:p>
      <w:pPr>
        <w:ind w:left="420"/>
        <w:jc w:val="center"/>
        <w:rPr>
          <w:rFonts w:ascii="仿宋" w:hAnsi="仿宋" w:eastAsia="仿宋" w:cs="仿宋"/>
          <w:b/>
          <w:sz w:val="72"/>
          <w:szCs w:val="72"/>
        </w:rPr>
      </w:pPr>
    </w:p>
    <w:p>
      <w:pPr>
        <w:ind w:left="420"/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ind w:left="420"/>
        <w:jc w:val="center"/>
        <w:rPr>
          <w:rFonts w:ascii="仿宋" w:hAnsi="仿宋" w:eastAsia="仿宋" w:cs="仿宋"/>
          <w:b/>
          <w:sz w:val="44"/>
          <w:szCs w:val="44"/>
        </w:rPr>
      </w:pPr>
    </w:p>
    <w:p>
      <w:pPr>
        <w:jc w:val="center"/>
        <w:rPr>
          <w:rFonts w:ascii="仿宋" w:hAnsi="仿宋" w:eastAsia="仿宋" w:cs="仿宋"/>
          <w:b/>
          <w:sz w:val="40"/>
          <w:szCs w:val="40"/>
        </w:rPr>
      </w:pPr>
      <w:r>
        <w:rPr>
          <w:rFonts w:hint="eastAsia" w:ascii="仿宋" w:hAnsi="仿宋" w:eastAsia="仿宋" w:cs="仿宋"/>
          <w:b/>
          <w:sz w:val="40"/>
          <w:szCs w:val="40"/>
        </w:rPr>
        <w:t>内蒙古神东天隆集团股份有限公司大海则煤矿</w:t>
      </w:r>
    </w:p>
    <w:p>
      <w:pPr>
        <w:jc w:val="center"/>
        <w:rPr>
          <w:rFonts w:hint="eastAsia" w:ascii="仿宋" w:hAnsi="仿宋" w:eastAsia="仿宋" w:cs="仿宋"/>
          <w:b/>
          <w:bCs/>
          <w:w w:val="80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w w:val="80"/>
          <w:sz w:val="44"/>
          <w:szCs w:val="44"/>
        </w:rPr>
        <w:t>防爆</w:t>
      </w:r>
      <w:r>
        <w:rPr>
          <w:rFonts w:hint="eastAsia" w:ascii="仿宋" w:hAnsi="仿宋" w:eastAsia="仿宋" w:cs="仿宋"/>
          <w:b/>
          <w:bCs/>
          <w:w w:val="80"/>
          <w:sz w:val="44"/>
          <w:szCs w:val="44"/>
          <w:lang w:eastAsia="zh-CN"/>
        </w:rPr>
        <w:t>柴油开槽机</w:t>
      </w:r>
    </w:p>
    <w:p>
      <w:pPr>
        <w:jc w:val="center"/>
        <w:rPr>
          <w:rFonts w:ascii="仿宋" w:hAnsi="仿宋" w:eastAsia="仿宋" w:cs="仿宋"/>
          <w:b/>
          <w:bCs/>
          <w:w w:val="80"/>
          <w:sz w:val="36"/>
          <w:szCs w:val="36"/>
        </w:rPr>
      </w:pPr>
    </w:p>
    <w:p>
      <w:pPr>
        <w:pStyle w:val="2"/>
      </w:pP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sz w:val="96"/>
          <w:szCs w:val="96"/>
        </w:rPr>
      </w:pPr>
      <w:r>
        <w:rPr>
          <w:rFonts w:hint="eastAsia" w:ascii="仿宋" w:hAnsi="仿宋" w:eastAsia="仿宋" w:cs="仿宋"/>
          <w:b/>
          <w:sz w:val="84"/>
          <w:szCs w:val="84"/>
        </w:rPr>
        <w:t>技 术 要 求</w:t>
      </w: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21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使用方：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内蒙古神东天隆集团股份有限公司大海则煤矿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审核方：</w:t>
      </w:r>
      <w:r>
        <w:rPr>
          <w:rFonts w:hint="eastAsia" w:ascii="仿宋" w:hAnsi="仿宋" w:eastAsia="仿宋" w:cs="仿宋"/>
          <w:sz w:val="32"/>
          <w:szCs w:val="32"/>
        </w:rPr>
        <w:t>内蒙古神东天隆集团股份有限公司机电动力部</w:t>
      </w:r>
      <w:r>
        <w:rPr>
          <w:rFonts w:hint="eastAsia" w:ascii="仿宋" w:hAnsi="仿宋" w:eastAsia="仿宋" w:cs="仿宋"/>
          <w:color w:val="000000"/>
          <w:szCs w:val="21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tabs>
          <w:tab w:val="left" w:pos="1227"/>
        </w:tabs>
        <w:jc w:val="center"/>
        <w:rPr>
          <w:rFonts w:ascii="仿宋" w:hAnsi="仿宋" w:eastAsia="仿宋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32"/>
          <w:szCs w:val="21"/>
        </w:rPr>
        <w:t>202</w:t>
      </w:r>
      <w:r>
        <w:rPr>
          <w:rFonts w:hint="eastAsia" w:ascii="仿宋" w:hAnsi="仿宋" w:eastAsia="仿宋" w:cs="仿宋"/>
          <w:bCs/>
          <w:sz w:val="32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21"/>
        </w:rPr>
        <w:t>年</w:t>
      </w:r>
      <w:r>
        <w:rPr>
          <w:rFonts w:hint="eastAsia" w:ascii="仿宋" w:hAnsi="仿宋" w:eastAsia="仿宋" w:cs="仿宋"/>
          <w:bCs/>
          <w:sz w:val="32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21"/>
        </w:rPr>
        <w:t>月</w:t>
      </w:r>
      <w:r>
        <w:rPr>
          <w:rFonts w:hint="eastAsia" w:ascii="仿宋" w:hAnsi="仿宋" w:eastAsia="仿宋" w:cs="仿宋"/>
          <w:bCs/>
          <w:sz w:val="32"/>
          <w:szCs w:val="21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bCs/>
          <w:sz w:val="32"/>
          <w:szCs w:val="21"/>
        </w:rPr>
        <w:t>日</w:t>
      </w:r>
    </w:p>
    <w:p>
      <w:pPr>
        <w:wordWrap w:val="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编号：DHZ-202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JJJH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-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030</w:t>
      </w:r>
    </w:p>
    <w:p>
      <w:pPr>
        <w:spacing w:before="312" w:beforeLines="100" w:after="312" w:afterLine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技 术 要 求</w:t>
      </w:r>
    </w:p>
    <w:p>
      <w:pPr>
        <w:pStyle w:val="12"/>
        <w:spacing w:after="0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使用方：内蒙古神东天隆集团股份有限公司大海则煤矿</w:t>
      </w:r>
    </w:p>
    <w:p>
      <w:pPr>
        <w:pStyle w:val="12"/>
        <w:spacing w:after="0"/>
        <w:ind w:left="0" w:leftChars="0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审核方：内蒙古神东天隆集团股份有限公司机电动力部               </w:t>
      </w:r>
    </w:p>
    <w:p>
      <w:pPr>
        <w:pStyle w:val="1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一、基本信息：</w:t>
      </w:r>
    </w:p>
    <w:tbl>
      <w:tblPr>
        <w:tblStyle w:val="13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vAlign w:val="center"/>
          </w:tcPr>
          <w:p>
            <w:pPr>
              <w:ind w:right="-63" w:rightChars="-3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228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规格型号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55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量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资金来源</w:t>
            </w:r>
          </w:p>
        </w:tc>
        <w:tc>
          <w:tcPr>
            <w:tcW w:w="26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交（提）货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防爆柴油开槽机</w:t>
            </w:r>
          </w:p>
        </w:tc>
        <w:tc>
          <w:tcPr>
            <w:tcW w:w="2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KC-X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台</w:t>
            </w:r>
          </w:p>
        </w:tc>
        <w:tc>
          <w:tcPr>
            <w:tcW w:w="5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专项</w:t>
            </w:r>
          </w:p>
        </w:tc>
        <w:tc>
          <w:tcPr>
            <w:tcW w:w="266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大海则煤矿</w:t>
            </w:r>
          </w:p>
        </w:tc>
      </w:tr>
    </w:tbl>
    <w:p>
      <w:pPr>
        <w:rPr>
          <w:rFonts w:ascii="仿宋" w:hAnsi="仿宋" w:eastAsia="仿宋" w:cs="仿宋"/>
          <w:vanish/>
          <w:sz w:val="28"/>
          <w:szCs w:val="28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二、设备运行环境条件</w:t>
      </w:r>
    </w:p>
    <w:p>
      <w:pPr>
        <w:pStyle w:val="10"/>
        <w:adjustRightInd w:val="0"/>
        <w:snapToGrid w:val="0"/>
        <w:spacing w:line="520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1、运行地点：煤矿井下</w:t>
      </w:r>
    </w:p>
    <w:p>
      <w:pPr>
        <w:pStyle w:val="10"/>
        <w:adjustRightInd w:val="0"/>
        <w:snapToGrid w:val="0"/>
        <w:spacing w:line="520" w:lineRule="atLeas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2、海拔高度：+1000m--+1300m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3、瓦斯等级:  低瓦斯矿井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4、地面室外环境温度</w:t>
      </w:r>
      <w:r>
        <w:rPr>
          <w:rFonts w:hint="eastAsia" w:ascii="仿宋" w:hAnsi="仿宋" w:eastAsia="仿宋" w:cs="仿宋"/>
          <w:kern w:val="0"/>
          <w:sz w:val="28"/>
          <w:szCs w:val="28"/>
        </w:rPr>
        <w:t>:－30℃～＋40℃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5、无轨胶轮车应能在湿度不超过95％（+25℃）的环境中正常使用。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三、技术参数：</w:t>
      </w:r>
    </w:p>
    <w:p>
      <w:pPr>
        <w:spacing w:line="34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8"/>
        </w:rPr>
        <w:t>3.1整车技术规格</w:t>
      </w:r>
    </w:p>
    <w:tbl>
      <w:tblPr>
        <w:tblStyle w:val="13"/>
        <w:tblW w:w="10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496"/>
        <w:gridCol w:w="4659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05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496" w:type="dxa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4659" w:type="dxa"/>
            <w:vAlign w:val="center"/>
          </w:tcPr>
          <w:p>
            <w:pPr>
              <w:spacing w:line="400" w:lineRule="exact"/>
              <w:ind w:firstLine="960" w:firstLineChars="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1478" w:type="dxa"/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型号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KC-X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车体颜色</w:t>
            </w:r>
          </w:p>
        </w:tc>
        <w:tc>
          <w:tcPr>
            <w:tcW w:w="4659" w:type="dxa"/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白色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型式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中央铰接式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行走方式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轮胎式行走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支撑方式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前、后各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2根液压油缸支腿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各支腿可单独伸缩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最大速度（km/h）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25±2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转向角度</w:t>
            </w:r>
            <w:r>
              <w:rPr>
                <w:rFonts w:hint="eastAsia" w:ascii="仿宋" w:hAnsi="仿宋" w:eastAsia="仿宋" w:cs="仿宋"/>
                <w:sz w:val="24"/>
              </w:rPr>
              <w:t>（°）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</w:rPr>
              <w:t>±37°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爬坡能力</w:t>
            </w:r>
            <w:r>
              <w:rPr>
                <w:rFonts w:hint="eastAsia" w:ascii="仿宋" w:hAnsi="仿宋" w:eastAsia="仿宋" w:cs="仿宋"/>
                <w:sz w:val="24"/>
              </w:rPr>
              <w:t>（纵向、横向）（°）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</w:rPr>
              <w:t>14，7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最小通过能力半径（内/外）(mm)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38</w:t>
            </w:r>
            <w:r>
              <w:rPr>
                <w:rFonts w:hint="eastAsia" w:ascii="仿宋" w:hAnsi="仿宋" w:eastAsia="仿宋" w:cs="仿宋"/>
                <w:sz w:val="24"/>
              </w:rPr>
              <w:t>00±200/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60</w:t>
            </w:r>
            <w:r>
              <w:rPr>
                <w:rFonts w:hint="eastAsia" w:ascii="仿宋" w:hAnsi="仿宋" w:eastAsia="仿宋" w:cs="仿宋"/>
                <w:sz w:val="24"/>
              </w:rPr>
              <w:t>00±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</w:rPr>
              <w:t>00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最大制动距离(m)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≤8m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最小离地间隙(mm)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≥200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防爆指标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隔爆型、本安型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排气温度≤7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℃；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发动机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冷却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水温≤9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℃；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发动机表面温度≤150℃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冷却净化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箱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水位满足要求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发动机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机油压力达到设定值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；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瓦斯浓度达到0.5%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报警可调发出声光报警信号，其声光信号应使驾驶员能够清晰辨别，报警后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0s内（时间可设定）和断电后应自动停止防爆柴油机工作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整车外型尺寸（L×W×H）(mm)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≤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70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00×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×2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0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05" w:type="dxa"/>
            <w:vAlign w:val="center"/>
          </w:tcPr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49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整车重量(kg)</w:t>
            </w:r>
          </w:p>
        </w:tc>
        <w:tc>
          <w:tcPr>
            <w:tcW w:w="465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1800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≥M≥12000</w:t>
            </w:r>
          </w:p>
        </w:tc>
        <w:tc>
          <w:tcPr>
            <w:tcW w:w="147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3.2、防爆柴油发动机</w:t>
      </w:r>
    </w:p>
    <w:tbl>
      <w:tblPr>
        <w:tblStyle w:val="13"/>
        <w:tblW w:w="10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865"/>
        <w:gridCol w:w="4709"/>
        <w:gridCol w:w="14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 号</w:t>
            </w:r>
          </w:p>
        </w:tc>
        <w:tc>
          <w:tcPr>
            <w:tcW w:w="28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470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规格型号</w:t>
            </w:r>
          </w:p>
        </w:tc>
        <w:tc>
          <w:tcPr>
            <w:tcW w:w="4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napToGrid w:val="0"/>
                <w:kern w:val="2"/>
                <w:sz w:val="24"/>
                <w:szCs w:val="24"/>
                <w:lang w:val="en-US" w:eastAsia="zh-CN" w:bidi="ar-SA"/>
              </w:rPr>
              <w:t>品牌为潍柴、玉柴、康明斯、锡柴、上柴等国内知名品牌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（国三）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额定功率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(防爆净功率)</w:t>
            </w:r>
          </w:p>
        </w:tc>
        <w:tc>
          <w:tcPr>
            <w:tcW w:w="4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≥100KW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启动方式</w:t>
            </w:r>
          </w:p>
        </w:tc>
        <w:tc>
          <w:tcPr>
            <w:tcW w:w="4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气起动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不少于2次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国三排放结果（g/kW*h）</w:t>
            </w:r>
          </w:p>
        </w:tc>
        <w:tc>
          <w:tcPr>
            <w:tcW w:w="4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CO≤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5.0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HC+NO</w:t>
            </w:r>
            <w:r>
              <w:rPr>
                <w:rFonts w:hint="eastAsia" w:ascii="仿宋" w:hAnsi="仿宋" w:eastAsia="仿宋" w:cs="仿宋"/>
                <w:sz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</w:rPr>
              <w:instrText xml:space="preserve"> = 24 \* alphabetic \* MERGEFORMAT </w:instrText>
            </w:r>
            <w:r>
              <w:rPr>
                <w:rFonts w:hint="eastAsia" w:ascii="仿宋" w:hAnsi="仿宋" w:eastAsia="仿宋" w:cs="仿宋"/>
                <w:sz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</w:rPr>
              <w:t>x</w:t>
            </w:r>
            <w:r>
              <w:rPr>
                <w:rFonts w:hint="eastAsia" w:ascii="仿宋" w:hAnsi="仿宋" w:eastAsia="仿宋" w:cs="仿宋"/>
                <w:sz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</w:rPr>
              <w:t>≤4.7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PM≤0.4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both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进气防爆装置</w:t>
            </w:r>
          </w:p>
        </w:tc>
        <w:tc>
          <w:tcPr>
            <w:tcW w:w="4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4"/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空气滤清器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+进气阻火器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排气防爆装置</w:t>
            </w:r>
          </w:p>
        </w:tc>
        <w:tc>
          <w:tcPr>
            <w:tcW w:w="4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防爆阻火器+水洗箱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3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28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发动机停机保护</w:t>
            </w:r>
          </w:p>
        </w:tc>
        <w:tc>
          <w:tcPr>
            <w:tcW w:w="4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电子监控系统</w:t>
            </w: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3.3、驾驶室配置说明</w:t>
      </w:r>
    </w:p>
    <w:tbl>
      <w:tblPr>
        <w:tblStyle w:val="13"/>
        <w:tblW w:w="10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261"/>
        <w:gridCol w:w="4845"/>
        <w:gridCol w:w="2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6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48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254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驾驶室位置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全金属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eastAsia="zh-CN"/>
              </w:rPr>
              <w:t>全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封闭</w:t>
            </w:r>
            <w:r>
              <w:rPr>
                <w:rFonts w:hint="eastAsia" w:ascii="仿宋" w:hAnsi="仿宋" w:eastAsia="仿宋" w:cs="仿宋"/>
                <w:sz w:val="24"/>
              </w:rPr>
              <w:t>驾驶室，前方驾驶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，能保证司机前方、侧方视野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操纵内容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制动踏板、方向盘、油门踏板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换档操纵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雨刮、鸣笛、启停机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、急停、照明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显示仪表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里程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</w:rPr>
              <w:t>速度、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气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/液压系统压力、制动储能装置压力、柴油机转速及冷却水温、变矩器油温、瓦斯浓度；燃油油位、冷却水位、</w:t>
            </w:r>
            <w:r>
              <w:rPr>
                <w:rFonts w:hint="eastAsia" w:ascii="仿宋" w:hAnsi="仿宋" w:eastAsia="仿宋" w:cs="仿宋"/>
                <w:sz w:val="24"/>
              </w:rPr>
              <w:t>运行时长等仪表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仪表盘设置仪表灯或具有夜光显示功能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,操作按钮具有夜视功能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保护装置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电保护且配安全带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，安全带应有效可靠，固定点有足够强度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雨刮器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配雨刮器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，雨刮刷面积符合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GB15085规定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座椅形式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可调式减震真皮座椅，配安全带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噪声</w:t>
            </w:r>
          </w:p>
        </w:tc>
        <w:tc>
          <w:tcPr>
            <w:tcW w:w="4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驾驶室司机位置噪声声压不大于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sz w:val="24"/>
              </w:rPr>
              <w:t>dB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25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3.4、 传动系统</w:t>
      </w:r>
    </w:p>
    <w:tbl>
      <w:tblPr>
        <w:tblStyle w:val="13"/>
        <w:tblW w:w="10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49"/>
        <w:gridCol w:w="3742"/>
        <w:gridCol w:w="2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8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34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374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255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控制方式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驾驶室控制，可视遥控控制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传动方式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液压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传动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驱动方式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四轮驱动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8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3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变速</w:t>
            </w:r>
          </w:p>
        </w:tc>
        <w:tc>
          <w:tcPr>
            <w:tcW w:w="3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无级变速</w:t>
            </w:r>
          </w:p>
        </w:tc>
        <w:tc>
          <w:tcPr>
            <w:tcW w:w="2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、工作制动</w:t>
      </w:r>
    </w:p>
    <w:tbl>
      <w:tblPr>
        <w:tblStyle w:val="13"/>
        <w:tblW w:w="103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3250"/>
        <w:gridCol w:w="4673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 号</w:t>
            </w:r>
          </w:p>
        </w:tc>
        <w:tc>
          <w:tcPr>
            <w:tcW w:w="32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467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142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制动器型式</w:t>
            </w:r>
          </w:p>
        </w:tc>
        <w:tc>
          <w:tcPr>
            <w:tcW w:w="4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全封闭式湿式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制动、</w:t>
            </w:r>
            <w:r>
              <w:rPr>
                <w:rFonts w:hint="eastAsia" w:ascii="仿宋" w:hAnsi="仿宋" w:eastAsia="仿宋" w:cs="仿宋"/>
                <w:sz w:val="24"/>
              </w:rPr>
              <w:t>失效安全型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4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制动型式</w:t>
            </w:r>
          </w:p>
        </w:tc>
        <w:tc>
          <w:tcPr>
            <w:tcW w:w="4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液压制动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脚制动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4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32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制动距离(m) /2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Km/h</w:t>
            </w:r>
          </w:p>
        </w:tc>
        <w:tc>
          <w:tcPr>
            <w:tcW w:w="467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≤8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、紧急/停车制动</w:t>
      </w:r>
    </w:p>
    <w:tbl>
      <w:tblPr>
        <w:tblStyle w:val="13"/>
        <w:tblW w:w="10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269"/>
        <w:gridCol w:w="4699"/>
        <w:gridCol w:w="14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2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 号</w:t>
            </w:r>
          </w:p>
        </w:tc>
        <w:tc>
          <w:tcPr>
            <w:tcW w:w="326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469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143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制动器型式</w:t>
            </w:r>
          </w:p>
        </w:tc>
        <w:tc>
          <w:tcPr>
            <w:tcW w:w="4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全封闭式湿式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制动、</w:t>
            </w:r>
            <w:r>
              <w:rPr>
                <w:rFonts w:hint="eastAsia" w:ascii="仿宋" w:hAnsi="仿宋" w:eastAsia="仿宋" w:cs="仿宋"/>
                <w:sz w:val="24"/>
              </w:rPr>
              <w:t>失效安全型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紧急制动单独设置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3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制动型式</w:t>
            </w:r>
          </w:p>
        </w:tc>
        <w:tc>
          <w:tcPr>
            <w:tcW w:w="4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弹簧制动 液压释放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2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3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制动距离(m) /2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Km/h</w:t>
            </w:r>
          </w:p>
        </w:tc>
        <w:tc>
          <w:tcPr>
            <w:tcW w:w="46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≤8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" w:hAnsi="仿宋" w:eastAsia="仿宋" w:cs="仿宋"/>
          <w:sz w:val="24"/>
        </w:rPr>
        <w:t>3.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、 电气系统</w:t>
      </w:r>
    </w:p>
    <w:tbl>
      <w:tblPr>
        <w:tblStyle w:val="13"/>
        <w:tblW w:w="10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741"/>
        <w:gridCol w:w="6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74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</w:t>
            </w:r>
          </w:p>
        </w:tc>
        <w:tc>
          <w:tcPr>
            <w:tcW w:w="637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技术指标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74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发电机</w:t>
            </w:r>
          </w:p>
        </w:tc>
        <w:tc>
          <w:tcPr>
            <w:tcW w:w="6370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隔爆永磁发电机，ExdI（隔爆型）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74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系统电压</w:t>
            </w:r>
          </w:p>
        </w:tc>
        <w:tc>
          <w:tcPr>
            <w:tcW w:w="6370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24V，直流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74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前灯数量</w:t>
            </w:r>
          </w:p>
        </w:tc>
        <w:tc>
          <w:tcPr>
            <w:tcW w:w="6370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2个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行走</w:t>
            </w:r>
            <w:r>
              <w:rPr>
                <w:rFonts w:hint="eastAsia" w:ascii="仿宋" w:hAnsi="仿宋" w:eastAsia="仿宋" w:cs="仿宋"/>
                <w:sz w:val="24"/>
              </w:rPr>
              <w:t>照明灯（可远近光切换）,2个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</w:t>
            </w:r>
            <w:r>
              <w:rPr>
                <w:rFonts w:hint="eastAsia" w:ascii="仿宋" w:hAnsi="仿宋" w:eastAsia="仿宋" w:cs="仿宋"/>
                <w:sz w:val="24"/>
              </w:rPr>
              <w:t>照明灯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（前臂），</w:t>
            </w:r>
            <w:r>
              <w:rPr>
                <w:rFonts w:hint="eastAsia" w:ascii="仿宋" w:hAnsi="仿宋" w:eastAsia="仿宋" w:cs="仿宋"/>
                <w:sz w:val="24"/>
              </w:rPr>
              <w:t>2个转向灯，2个信号灯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74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后灯数量</w:t>
            </w:r>
          </w:p>
        </w:tc>
        <w:tc>
          <w:tcPr>
            <w:tcW w:w="6370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2个照明灯（倒车灯）,2个转向灯,2个刹车灯，2个信号灯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74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照明灯强度</w:t>
            </w:r>
          </w:p>
        </w:tc>
        <w:tc>
          <w:tcPr>
            <w:tcW w:w="6370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 xml:space="preserve">lx（20m处）；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可见距离</w:t>
            </w:r>
            <w:r>
              <w:rPr>
                <w:rFonts w:hint="eastAsia" w:ascii="仿宋" w:hAnsi="仿宋" w:eastAsia="仿宋" w:cs="仿宋"/>
                <w:sz w:val="24"/>
              </w:rPr>
              <w:t>＞100m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74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信号灯能见距离</w:t>
            </w:r>
          </w:p>
        </w:tc>
        <w:tc>
          <w:tcPr>
            <w:tcW w:w="6370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＞60m（红色）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2741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倒车提示</w:t>
            </w:r>
          </w:p>
        </w:tc>
        <w:tc>
          <w:tcPr>
            <w:tcW w:w="6370" w:type="dxa"/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声光报警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38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</w:t>
            </w:r>
          </w:p>
        </w:tc>
        <w:tc>
          <w:tcPr>
            <w:tcW w:w="2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倒车影像</w:t>
            </w:r>
          </w:p>
        </w:tc>
        <w:tc>
          <w:tcPr>
            <w:tcW w:w="637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配有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前后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行车记录仪、倒车影像、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倒车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雷达，倒车影像清晰度不得小于1080P(保证井下清晰)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仿宋" w:hAnsi="仿宋" w:eastAsia="仿宋" w:cs="仿宋"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</w:rPr>
        <w:t>3.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</w:rPr>
        <w:t>、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行走机构</w:t>
      </w:r>
    </w:p>
    <w:tbl>
      <w:tblPr>
        <w:tblStyle w:val="13"/>
        <w:tblW w:w="105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3093"/>
        <w:gridCol w:w="4747"/>
        <w:gridCol w:w="16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3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序 号</w:t>
            </w:r>
          </w:p>
        </w:tc>
        <w:tc>
          <w:tcPr>
            <w:tcW w:w="3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 目 名 称</w:t>
            </w:r>
          </w:p>
        </w:tc>
        <w:tc>
          <w:tcPr>
            <w:tcW w:w="474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技 术 指 标</w:t>
            </w:r>
          </w:p>
        </w:tc>
        <w:tc>
          <w:tcPr>
            <w:tcW w:w="164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3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行走方式</w:t>
            </w:r>
          </w:p>
        </w:tc>
        <w:tc>
          <w:tcPr>
            <w:tcW w:w="4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轮胎式行走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3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轮胎型式</w:t>
            </w:r>
          </w:p>
        </w:tc>
        <w:tc>
          <w:tcPr>
            <w:tcW w:w="4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hAnsi="仿宋" w:eastAsia="仿宋" w:cs="仿宋"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矿用实芯橡胶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轮胎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3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轮胎规格</w:t>
            </w:r>
          </w:p>
        </w:tc>
        <w:tc>
          <w:tcPr>
            <w:tcW w:w="4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前、后轮均为单轮，四轮相同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3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花纹型式</w:t>
            </w:r>
          </w:p>
        </w:tc>
        <w:tc>
          <w:tcPr>
            <w:tcW w:w="4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牵引型花纹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3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3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最大牵引力（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KN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≥100</w:t>
            </w:r>
          </w:p>
        </w:tc>
        <w:tc>
          <w:tcPr>
            <w:tcW w:w="1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</w:t>
      </w:r>
      <w:r>
        <w:rPr>
          <w:rFonts w:hint="eastAsia" w:ascii="仿宋" w:hAnsi="仿宋" w:eastAsia="仿宋" w:cs="仿宋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sz w:val="24"/>
        </w:rPr>
        <w:t>、声音信号装置</w:t>
      </w:r>
    </w:p>
    <w:tbl>
      <w:tblPr>
        <w:tblStyle w:val="13"/>
        <w:tblW w:w="10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105"/>
        <w:gridCol w:w="4504"/>
        <w:gridCol w:w="1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3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 号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450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类型</w:t>
            </w:r>
          </w:p>
        </w:tc>
        <w:tc>
          <w:tcPr>
            <w:tcW w:w="4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气喇叭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操作方式</w:t>
            </w:r>
          </w:p>
        </w:tc>
        <w:tc>
          <w:tcPr>
            <w:tcW w:w="45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手动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03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音量（dB）</w:t>
            </w:r>
          </w:p>
        </w:tc>
        <w:tc>
          <w:tcPr>
            <w:tcW w:w="450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0dB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>(40m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处</w:t>
            </w:r>
            <w:r>
              <w:rPr>
                <w:rFonts w:hint="eastAsia" w:ascii="仿宋" w:hAnsi="仿宋" w:eastAsia="仿宋" w:cs="仿宋"/>
                <w:sz w:val="24"/>
              </w:rPr>
              <w:t>)</w:t>
            </w:r>
          </w:p>
        </w:tc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3.1</w:t>
      </w:r>
      <w:r>
        <w:rPr>
          <w:rFonts w:hint="eastAsia" w:ascii="仿宋" w:hAnsi="仿宋" w:eastAsia="仿宋" w:cs="仿宋"/>
          <w:sz w:val="24"/>
          <w:lang w:val="en-US" w:eastAsia="zh-CN"/>
        </w:rPr>
        <w:t>0</w:t>
      </w:r>
      <w:r>
        <w:rPr>
          <w:rFonts w:hint="eastAsia" w:ascii="仿宋" w:hAnsi="仿宋" w:eastAsia="仿宋" w:cs="仿宋"/>
          <w:sz w:val="24"/>
          <w:lang w:eastAsia="zh-CN"/>
        </w:rPr>
        <w:t>、</w:t>
      </w:r>
      <w:r>
        <w:rPr>
          <w:rFonts w:hint="eastAsia" w:ascii="仿宋" w:hAnsi="仿宋" w:eastAsia="仿宋" w:cs="仿宋"/>
          <w:sz w:val="24"/>
        </w:rPr>
        <w:t>灭火器</w:t>
      </w:r>
    </w:p>
    <w:tbl>
      <w:tblPr>
        <w:tblStyle w:val="13"/>
        <w:tblW w:w="10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3105"/>
        <w:gridCol w:w="3840"/>
        <w:gridCol w:w="2529"/>
      </w:tblGrid>
      <w:tr>
        <w:trPr>
          <w:trHeight w:val="384" w:hRule="atLeast"/>
          <w:jc w:val="center"/>
        </w:trPr>
        <w:tc>
          <w:tcPr>
            <w:tcW w:w="1022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310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384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252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灭火器数量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灭火方式</w:t>
            </w:r>
          </w:p>
        </w:tc>
        <w:tc>
          <w:tcPr>
            <w:tcW w:w="3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配备2具4公斤灭火器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灭火器能方便取出</w:t>
            </w:r>
          </w:p>
        </w:tc>
      </w:tr>
    </w:tbl>
    <w:p>
      <w:pPr>
        <w:autoSpaceDE w:val="0"/>
        <w:autoSpaceDN w:val="0"/>
        <w:adjustRightInd w:val="0"/>
        <w:spacing w:line="480" w:lineRule="exact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3.1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lang w:eastAsia="zh-CN"/>
        </w:rPr>
        <w:t>、截割系统</w:t>
      </w:r>
    </w:p>
    <w:tbl>
      <w:tblPr>
        <w:tblStyle w:val="13"/>
        <w:tblW w:w="104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418"/>
        <w:gridCol w:w="4527"/>
        <w:gridCol w:w="25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03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41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目 名 称</w:t>
            </w:r>
          </w:p>
        </w:tc>
        <w:tc>
          <w:tcPr>
            <w:tcW w:w="452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技 术 指 标</w:t>
            </w:r>
          </w:p>
        </w:tc>
        <w:tc>
          <w:tcPr>
            <w:tcW w:w="251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驱动方式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液压马达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截割功率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kw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≥65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破碎硬度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6≥f≥4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破岩硬度需达到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f6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切削力量（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KN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≥45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切割效率（m³/h）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最大切割高度（m）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4.2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水平地面向上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最大切割深度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（m）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水平地面向下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一次切割宽度（m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m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00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工作臂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具有水平摆动、举升、伸缩、垂直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sz w:val="24"/>
                <w:vertAlign w:val="superscript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vertAlign w:val="baseline"/>
                <w:lang w:val="en-US" w:eastAsia="zh-CN"/>
              </w:rPr>
              <w:t>旋转和作业机构角度调节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3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10</w:t>
            </w:r>
          </w:p>
        </w:tc>
        <w:tc>
          <w:tcPr>
            <w:tcW w:w="2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截割部位</w:t>
            </w:r>
          </w:p>
        </w:tc>
        <w:tc>
          <w:tcPr>
            <w:tcW w:w="4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液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压破碎锤（破碎深度大于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1.5m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纵向铣挖模块（高强度截齿）、回转挖斗模块</w:t>
            </w:r>
          </w:p>
        </w:tc>
        <w:tc>
          <w:tcPr>
            <w:tcW w:w="2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快速连接，可进行各功能模块的快速更换</w:t>
            </w:r>
          </w:p>
        </w:tc>
      </w:tr>
    </w:tbl>
    <w:p>
      <w:pPr>
        <w:pStyle w:val="12"/>
        <w:ind w:left="0" w:leftChars="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四、设计、制造、检验标准：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设计和制造符合适用中国最新版国家标准(GB)、煤炭标准(MT)。标准如与甲方所执行的标准不一致时，取高标准执行，其他标准按国标、部标或行业标准制造验收。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GB 3836.1  爆炸性气体环境用电气设备  第1部分：通用要求（GB 3836.1-2000.eqv IEC 60079-0:1998）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GB 3836.2  爆炸性气体环境用电气设备  第2部分：隔爆型“d”（GB 3836.2-2000.eqv IEC 60079-1:1990）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GB 3836.3  爆炸性气体环境用电气设备  第3部分：增安型“e”（GB 3836.3-2000.eqv IEC 60079-7:1990）</w:t>
      </w:r>
    </w:p>
    <w:p>
      <w:pPr>
        <w:autoSpaceDE w:val="0"/>
        <w:autoSpaceDN w:val="0"/>
        <w:adjustRightInd w:val="0"/>
        <w:spacing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GB 3836.4  爆炸性气体环境用电气设备  第4部分：本质安全型“i”（GB 3836.4-2000.eqv IEC 60079-11:1999）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MT/T 990-2006  矿用防爆柴油机通用技术条件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MT/T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1199</w:t>
      </w:r>
      <w:r>
        <w:rPr>
          <w:rFonts w:hint="eastAsia" w:ascii="仿宋" w:hAnsi="仿宋" w:eastAsia="仿宋" w:cs="仿宋"/>
          <w:sz w:val="28"/>
          <w:szCs w:val="28"/>
        </w:rPr>
        <w:t>-20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煤矿</w:t>
      </w:r>
      <w:r>
        <w:rPr>
          <w:rFonts w:hint="eastAsia" w:ascii="仿宋" w:hAnsi="仿宋" w:eastAsia="仿宋" w:cs="仿宋"/>
          <w:sz w:val="28"/>
          <w:szCs w:val="28"/>
        </w:rPr>
        <w:t>用防爆柴油机无轨胶轮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运输</w:t>
      </w:r>
      <w:r>
        <w:rPr>
          <w:rFonts w:hint="eastAsia" w:ascii="仿宋" w:hAnsi="仿宋" w:eastAsia="仿宋" w:cs="仿宋"/>
          <w:sz w:val="28"/>
          <w:szCs w:val="28"/>
        </w:rPr>
        <w:t>车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辆</w:t>
      </w:r>
      <w:r>
        <w:rPr>
          <w:rFonts w:hint="eastAsia" w:ascii="仿宋" w:hAnsi="仿宋" w:eastAsia="仿宋" w:cs="仿宋"/>
          <w:sz w:val="28"/>
          <w:szCs w:val="28"/>
        </w:rPr>
        <w:t>通用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安全</w:t>
      </w:r>
      <w:r>
        <w:rPr>
          <w:rFonts w:hint="eastAsia" w:ascii="仿宋" w:hAnsi="仿宋" w:eastAsia="仿宋" w:cs="仿宋"/>
          <w:sz w:val="28"/>
          <w:szCs w:val="28"/>
        </w:rPr>
        <w:t>技术条件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AQ 1064-2008  煤矿用防爆柴油机无轨胶轮车安全使用规范</w:t>
      </w:r>
    </w:p>
    <w:p>
      <w:pPr>
        <w:autoSpaceDE w:val="0"/>
        <w:autoSpaceDN w:val="0"/>
        <w:adjustRightInd w:val="0"/>
        <w:ind w:firstLine="560" w:firstLineChars="200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GB 3836.9-1990 爆炸性环境用防爆电气设备</w:t>
      </w:r>
    </w:p>
    <w:p>
      <w:pPr>
        <w:pStyle w:val="5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电气：IEC标准/EN标准        机械：ISO标准  </w:t>
      </w:r>
    </w:p>
    <w:p>
      <w:pPr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T/CAMER 003-2019 矿用防爆柴油机无轨胶轮车检修与改造安全要求</w:t>
      </w:r>
    </w:p>
    <w:p>
      <w:pPr>
        <w:pStyle w:val="2"/>
        <w:ind w:left="0" w:leftChars="0" w:firstLine="560" w:firstLineChars="200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AQ 10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43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矿用产品安全标志标识</w:t>
      </w:r>
    </w:p>
    <w:p>
      <w:pPr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《煤矿安全规程》(2022版)</w:t>
      </w:r>
    </w:p>
    <w:p>
      <w:pPr>
        <w:pStyle w:val="12"/>
        <w:ind w:left="0" w:leftChars="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五、其它要求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车辆的电气设备应符合GB3836.1～3836.4的有关规定，为Exdi隔爆型或本安型，并取得煤矿矿用产品安全标志证书和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“MA”标识牌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2"/>
        <w:numPr>
          <w:ilvl w:val="0"/>
          <w:numId w:val="2"/>
        </w:numPr>
        <w:ind w:leftChars="0"/>
        <w:rPr>
          <w:rFonts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水箱、支管、废气箱、阻火栅栏均为不锈钢防腐耐腐蚀材质，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整车</w:t>
      </w:r>
      <w:r>
        <w:rPr>
          <w:rFonts w:hint="eastAsia" w:ascii="仿宋" w:hAnsi="仿宋" w:eastAsia="仿宋" w:cs="仿宋"/>
          <w:sz w:val="28"/>
          <w:szCs w:val="28"/>
        </w:rPr>
        <w:t>管路、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线路</w:t>
      </w:r>
      <w:r>
        <w:rPr>
          <w:rFonts w:hint="eastAsia" w:ascii="仿宋" w:hAnsi="仿宋" w:eastAsia="仿宋" w:cs="仿宋"/>
          <w:sz w:val="28"/>
          <w:szCs w:val="28"/>
        </w:rPr>
        <w:t>由阻燃材料制成，液压系统的管件、阀类应布置合理、安装可靠，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易磨损的管路、线路应增加防护装置。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车窗</w:t>
      </w:r>
      <w:r>
        <w:rPr>
          <w:rFonts w:hint="eastAsia" w:ascii="仿宋" w:hAnsi="仿宋" w:eastAsia="仿宋" w:cs="仿宋"/>
          <w:sz w:val="28"/>
          <w:szCs w:val="28"/>
        </w:rPr>
        <w:t>玻璃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应符合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GB9656的规定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轮胎必须选用国内知名品牌合格产品；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应设置符合GB 25990规定的车辆尾部标志板，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全车粘贴3M反光标示，粘贴牢固、整齐美观</w:t>
      </w:r>
      <w:r>
        <w:rPr>
          <w:rFonts w:hint="eastAsia" w:ascii="仿宋" w:hAnsi="仿宋" w:eastAsia="仿宋" w:cs="仿宋"/>
          <w:sz w:val="28"/>
          <w:szCs w:val="28"/>
        </w:rPr>
        <w:t>，车身反光标识材料应符合GB 23254的规定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配置有车载式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甲烷传感器</w:t>
      </w:r>
      <w:r>
        <w:rPr>
          <w:rFonts w:hint="eastAsia" w:ascii="仿宋" w:hAnsi="仿宋" w:eastAsia="仿宋" w:cs="仿宋"/>
          <w:sz w:val="28"/>
          <w:szCs w:val="28"/>
        </w:rPr>
        <w:t>，且一备一用，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传感器与我矿现有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GJC4型矿用低浓度甲烷传感器（天地自动化股份有限公司、淄博雍利安自动化设备有限公司）必须通用，且</w:t>
      </w:r>
      <w:r>
        <w:rPr>
          <w:rFonts w:hint="eastAsia" w:ascii="仿宋" w:hAnsi="仿宋" w:eastAsia="仿宋" w:cs="仿宋"/>
          <w:sz w:val="28"/>
          <w:szCs w:val="28"/>
        </w:rPr>
        <w:t>必须能通过正规检测单位的检测。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ind w:left="20" w:leftChars="0" w:firstLine="40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车辆阻火栅栏使用不锈钢耐腐蚀材质，</w:t>
      </w:r>
      <w:r>
        <w:rPr>
          <w:rFonts w:hint="eastAsia" w:ascii="仿宋" w:hAnsi="仿宋" w:eastAsia="仿宋" w:cs="仿宋"/>
          <w:sz w:val="28"/>
          <w:szCs w:val="28"/>
        </w:rPr>
        <w:t>且一备一用，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方便拆卸、清洗，保证长期有效。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ind w:left="20" w:leftChars="0" w:firstLine="400" w:firstLineChars="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电气系统各部件防护等级不低于IP54，配矿用隔爆兼本安型备用电源箱，电源箱预留接线端子，留作后期人员接近防护系统备用。冷却水位标志清晰，废气箱需有放水阀门，可随时检查防爆性能。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车辆可能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受到撞击的零部件，均不得使用轻金属制造。其它非金属零部件应采用表面电阻值不小于1×10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vertAlign w:val="superscript"/>
          <w:lang w:val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zh-CN"/>
        </w:rPr>
        <w:t>Ω的阻燃材料，阻燃性应符合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MT/T113的规定。</w:t>
      </w:r>
    </w:p>
    <w:p>
      <w:pPr>
        <w:pStyle w:val="18"/>
        <w:numPr>
          <w:ilvl w:val="0"/>
          <w:numId w:val="2"/>
        </w:numPr>
        <w:ind w:firstLineChars="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车辆各组成部件表面温度应满足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GB/T3836.1、GB/T3836.28的要求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>
      <w:pPr>
        <w:pStyle w:val="2"/>
        <w:numPr>
          <w:ilvl w:val="0"/>
          <w:numId w:val="2"/>
        </w:numPr>
        <w:tabs>
          <w:tab w:val="right" w:leader="dot" w:pos="8296"/>
        </w:tabs>
        <w:ind w:left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连接电气设备的线缆，除符合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MT818.1、MT/T818.9和MT/T818.14的规定外，安装时应可靠固定与防护，不能使线缆弯折而导致内部导体断裂。防爆柴油机附近及其他热源附近的线束应采用耐温不低于125</w:t>
      </w:r>
      <w:r>
        <w:rPr>
          <w:rFonts w:hint="eastAsia" w:ascii="仿宋" w:hAnsi="仿宋" w:eastAsia="仿宋" w:cs="仿宋"/>
          <w:sz w:val="28"/>
          <w:szCs w:val="28"/>
        </w:rPr>
        <w:t>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的阻燃线缆，其他部位的线束应采用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耐温不低于105</w:t>
      </w:r>
      <w:r>
        <w:rPr>
          <w:rFonts w:hint="eastAsia" w:ascii="仿宋" w:hAnsi="仿宋" w:eastAsia="仿宋" w:cs="仿宋"/>
          <w:sz w:val="28"/>
          <w:szCs w:val="28"/>
        </w:rPr>
        <w:t>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的阻燃线缆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所有线缆均应捆扎成束、布置整齐、固定扎紧，电缆的引入部分应符合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GB/T3836.1相关规定。</w:t>
      </w:r>
    </w:p>
    <w:p>
      <w:pPr>
        <w:pStyle w:val="2"/>
        <w:numPr>
          <w:ilvl w:val="0"/>
          <w:numId w:val="2"/>
        </w:numPr>
        <w:tabs>
          <w:tab w:val="right" w:leader="dot" w:pos="8296"/>
        </w:tabs>
        <w:ind w:left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车辆应具有超速报警功能，当行驶速度超过最高限速值时，能通过视觉或听觉信号报警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车辆驾驶区各操作单元应布局合理，操作部分的仪表、指示标牌应齐全、正确，车辆的变速杆、手柄和开关等操作机构上或附近用永久性标志标明其功能、操作方向等。标志操作符号应与背景有明显色差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pStyle w:val="18"/>
        <w:numPr>
          <w:ilvl w:val="0"/>
          <w:numId w:val="2"/>
        </w:numPr>
        <w:ind w:firstLineChars="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车辆驾驶室两侧应喷涂最大允许总质量，喷涂的中文及数字应清晰，高度不小于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80mm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>
      <w:pPr>
        <w:pStyle w:val="2"/>
        <w:numPr>
          <w:ilvl w:val="0"/>
          <w:numId w:val="2"/>
        </w:numPr>
        <w:tabs>
          <w:tab w:val="right" w:leader="dot" w:pos="8296"/>
        </w:tabs>
        <w:ind w:left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车身左右两侧各设置一面主后视镜，后视镜应易于调节，性能和安装应符合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GB15084的要求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驾驶室应设计合理、结构坚固，驾驶室高度应能保证驾驶员在佩戴安全帽时正常工作，驾驶室内部不应有任何可能使人致伤的锐角、立棱或尖锐突起物，驾驶室应具有足够的操作空间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bidi w:val="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车辆在设计的最大坡道上运行时，冷却净化水箱水位不应低于设定的最低水位，水箱放水口安装位置应方便操作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车辆各管路由阻燃材料制成，液压系统的管件、阀类应布置合理、安装可靠，</w:t>
      </w:r>
      <w:r>
        <w:rPr>
          <w:rFonts w:hint="eastAsia" w:ascii="仿宋" w:hAnsi="仿宋" w:eastAsia="仿宋" w:cs="仿宋"/>
          <w:kern w:val="2"/>
          <w:sz w:val="28"/>
          <w:szCs w:val="28"/>
          <w:lang w:val="zh-CN" w:eastAsia="zh-CN" w:bidi="ar-SA"/>
        </w:rPr>
        <w:t>易磨损的管路应增加防护装置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车辆配备2个防溜车装置（专用橡胶阻车器）、反光三角架。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具有行走与作业互锁、遥控与本地互锁功能，作业安全性良好。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具有空档启动功能，防止人员误操作造成设备和人员的伤害。</w:t>
      </w:r>
    </w:p>
    <w:p>
      <w:pPr>
        <w:numPr>
          <w:ilvl w:val="0"/>
          <w:numId w:val="2"/>
        </w:numPr>
        <w:tabs>
          <w:tab w:val="left" w:pos="570"/>
          <w:tab w:val="right" w:pos="7581"/>
        </w:tabs>
        <w:spacing w:line="600" w:lineRule="exac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配置有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遥控器</w:t>
      </w:r>
      <w:r>
        <w:rPr>
          <w:rFonts w:hint="eastAsia" w:ascii="仿宋" w:hAnsi="仿宋" w:eastAsia="仿宋" w:cs="仿宋"/>
          <w:sz w:val="28"/>
          <w:szCs w:val="28"/>
        </w:rPr>
        <w:t>，且一备一用，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遥控器采用双步骤安全操作模式（功能按键+操作手柄），确保人员操作的安全性，避免工作人员误操作或意外碰触。</w:t>
      </w:r>
    </w:p>
    <w:p>
      <w:pPr>
        <w:pStyle w:val="18"/>
        <w:numPr>
          <w:ilvl w:val="0"/>
          <w:numId w:val="2"/>
        </w:numPr>
        <w:ind w:firstLineChars="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全车部件安标与安标备案统一，电气系统符</w:t>
      </w:r>
      <w:r>
        <w:rPr>
          <w:rFonts w:hint="eastAsia" w:ascii="仿宋" w:hAnsi="仿宋" w:eastAsia="仿宋" w:cs="仿宋"/>
          <w:sz w:val="28"/>
          <w:szCs w:val="28"/>
          <w:u w:val="none"/>
        </w:rPr>
        <w:t>合《煤矿井下电气防爆标准》。</w:t>
      </w:r>
    </w:p>
    <w:p>
      <w:pPr>
        <w:pStyle w:val="2"/>
        <w:numPr>
          <w:ilvl w:val="0"/>
          <w:numId w:val="2"/>
        </w:numPr>
        <w:tabs>
          <w:tab w:val="right" w:leader="dot" w:pos="8296"/>
        </w:tabs>
        <w:ind w:left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交货地点为大海则煤矿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配备随车工具1套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车辆价款5%的随机备件，备件由买方自选。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在车身外表面易见部位上应装置至少一个能永久保持并符合AQ1043规定的煤矿矿用产品安全标志MA。</w:t>
      </w:r>
    </w:p>
    <w:p>
      <w:pPr>
        <w:numPr>
          <w:ilvl w:val="0"/>
          <w:numId w:val="2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要求中标方务必于接到中标通知书45日内供货。</w:t>
      </w:r>
    </w:p>
    <w:p>
      <w:pPr>
        <w:pStyle w:val="12"/>
        <w:ind w:left="0" w:leftChars="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六、技术资料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1、乙方应向甲方提供以下技术资料，数量为每车各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份。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①设备使用操作、维修说明书及图册（纸质版、电子版）。</w:t>
      </w:r>
    </w:p>
    <w:p>
      <w:pPr>
        <w:pStyle w:val="2"/>
        <w:tabs>
          <w:tab w:val="right" w:leader="dot" w:pos="8296"/>
        </w:tabs>
        <w:ind w:left="0" w:leftChars="0"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②提供有资质的第三方出具的整车检验报告、车载在用瓦斯传感器校验报告。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③整车相关部件安全标志证书及防爆合格证（纸质版、电子版）。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④成套供货清单、专用工具清单、备品备件清单及价格表、装箱单。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⑤完整中文备件手册、备件件号、数量、规格型号（含价格）等电子版资料。</w:t>
      </w:r>
    </w:p>
    <w:p>
      <w:pPr>
        <w:pStyle w:val="2"/>
        <w:ind w:left="0" w:leftChars="0"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⑥产品质量合格证。</w:t>
      </w:r>
    </w:p>
    <w:p>
      <w:pPr>
        <w:pStyle w:val="12"/>
        <w:ind w:left="0" w:leftChars="0" w:firstLine="0" w:firstLine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七、智能化技术要求：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1、需积极配合后期智能化改造，预留通信接口、24V电源端子，开放通信协议。</w:t>
      </w:r>
    </w:p>
    <w:p>
      <w:pPr>
        <w:pStyle w:val="9"/>
        <w:ind w:left="0" w:left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八、质量保证及售后：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质量保证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质量保证期限：车辆到矿验收合格日起，整车质保期为1年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（包括车辆所有配件）</w:t>
      </w:r>
      <w:r>
        <w:rPr>
          <w:rFonts w:hint="eastAsia" w:ascii="仿宋" w:hAnsi="仿宋" w:eastAsia="仿宋" w:cs="仿宋"/>
          <w:sz w:val="28"/>
          <w:szCs w:val="28"/>
        </w:rPr>
        <w:t>。质保期内出现的质量问题均由供货方无偿解决处理（人为因素造成的损坏除外）且所质保产品必须与原产品无异。</w:t>
      </w:r>
    </w:p>
    <w:p>
      <w:pPr>
        <w:spacing w:line="48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（二）售后服务</w:t>
      </w:r>
    </w:p>
    <w:p>
      <w:pPr>
        <w:pStyle w:val="12"/>
        <w:numPr>
          <w:ilvl w:val="255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产品出厂后供方应及时提交技术服务，对使用中出现的问题应能迅速处理，24小时内到矿，保证设备的正常使用；优惠提供配件，并保证及时供应。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2.乙方负责提供长期的优惠备件供应，若乙方某种备件停止生产或产品升级，将负责为甲方提供该备件的同等功能的替代品，或为所提供的产品进行升级服务。</w:t>
      </w:r>
    </w:p>
    <w:p>
      <w:pPr>
        <w:pStyle w:val="12"/>
        <w:numPr>
          <w:ilvl w:val="255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pStyle w:val="12"/>
        <w:ind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（以下空白，无正文）</w:t>
      </w:r>
    </w:p>
    <w:p>
      <w:pPr>
        <w:spacing w:before="312" w:beforeLines="100" w:after="312" w:afterLines="100"/>
        <w:rPr>
          <w:rFonts w:ascii="仿宋" w:hAnsi="仿宋" w:eastAsia="仿宋" w:cs="仿宋"/>
          <w:b/>
          <w:sz w:val="36"/>
          <w:szCs w:val="36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before="312" w:beforeLines="100" w:after="312" w:afterLines="100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签 字 审 批 页</w:t>
      </w:r>
    </w:p>
    <w:p>
      <w:pPr>
        <w:pStyle w:val="2"/>
        <w:ind w:left="420"/>
        <w:rPr>
          <w:rFonts w:ascii="仿宋" w:hAnsi="仿宋" w:eastAsia="仿宋" w:cs="仿宋"/>
        </w:rPr>
      </w:pPr>
    </w:p>
    <w:p>
      <w:pPr>
        <w:pStyle w:val="12"/>
        <w:spacing w:after="0"/>
        <w:ind w:left="0" w:leftChars="0" w:firstLine="0" w:firstLineChars="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使用方（章）：内蒙古神东天隆集团股份有限公司大海则煤矿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</w:t>
      </w: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ind w:left="9600" w:hanging="9600" w:hangingChars="3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单位分管领导：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审批日期：          年     月     日                 </w:t>
      </w:r>
    </w:p>
    <w:p>
      <w:pPr>
        <w:pStyle w:val="2"/>
        <w:ind w:left="42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审核方（章）：内蒙古神东天隆集团股份有限公司机电动力部</w:t>
      </w:r>
    </w:p>
    <w:p>
      <w:pPr>
        <w:pStyle w:val="2"/>
        <w:ind w:left="0" w:leftChars="0"/>
        <w:rPr>
          <w:rFonts w:ascii="仿宋" w:hAnsi="仿宋" w:eastAsia="仿宋" w:cs="仿宋"/>
          <w:sz w:val="32"/>
          <w:szCs w:val="32"/>
        </w:rPr>
      </w:pPr>
    </w:p>
    <w:p>
      <w:pPr>
        <w:ind w:left="9600" w:hanging="9600" w:hangingChars="3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单位分管领导：                  </w:t>
      </w:r>
      <w:r>
        <w:rPr>
          <w:rFonts w:hint="eastAsia" w:ascii="仿宋" w:hAnsi="仿宋" w:eastAsia="仿宋" w:cs="仿宋"/>
          <w:sz w:val="32"/>
          <w:szCs w:val="32"/>
        </w:rPr>
        <w:t>经办人：</w:t>
      </w:r>
    </w:p>
    <w:p>
      <w:pPr>
        <w:rPr>
          <w:rFonts w:ascii="仿宋" w:hAnsi="仿宋" w:eastAsia="仿宋" w:cs="仿宋"/>
          <w:bCs/>
          <w:sz w:val="32"/>
          <w:szCs w:val="32"/>
        </w:rPr>
      </w:pPr>
    </w:p>
    <w:p>
      <w:pPr>
        <w:pStyle w:val="12"/>
        <w:ind w:left="0" w:leftChars="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审批日期：          年     月     日 </w:t>
      </w: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aramond">
    <w:altName w:val="RomanS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使用方小签：</w:t>
                          </w:r>
                        </w:p>
                        <w:p/>
                        <w:p>
                          <w:r>
                            <w:rPr>
                              <w:rFonts w:hint="eastAsia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1312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BLkzj4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r>
                      <w:rPr>
                        <w:rFonts w:hint="eastAsia"/>
                      </w:rPr>
                      <w:t>使用方小签：</w:t>
                    </w:r>
                  </w:p>
                  <w:p/>
                  <w:p>
                    <w:r>
                      <w:rPr>
                        <w:rFonts w:hint="eastAsia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4551680</wp:posOffset>
              </wp:positionH>
              <wp:positionV relativeFrom="paragraph">
                <wp:posOffset>-283210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使用方小签：</w:t>
                          </w:r>
                        </w:p>
                        <w:p/>
                        <w:p>
                          <w:r>
                            <w:rPr>
                              <w:rFonts w:hint="eastAsia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8.4pt;margin-top:-22.3pt;height:65.3pt;width:87pt;z-index:251662336;mso-width-relative:page;mso-height-relative:page;" filled="f" stroked="f" coordsize="21600,21600" o:gfxdata="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hRPH0NgAAAAKAQAADwAAAAAAAAABACAAAAAiAAAAZHJzL2Rvd25y&#10;ZXYueG1sUEsBAhQAFAAAAAgAh07iQDAunDPFAQAAggMAAA4AAAAAAAAAAQAgAAAAJwEAAGRycy9l&#10;Mm9Eb2MueG1sUEsFBgAAAAAGAAYAWQEAAF4FAAAAAA=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r>
                      <w:rPr>
                        <w:rFonts w:hint="eastAsia"/>
                      </w:rPr>
                      <w:t>使用方小签：</w:t>
                    </w:r>
                  </w:p>
                  <w:p/>
                  <w:p>
                    <w:r>
                      <w:rPr>
                        <w:rFonts w:hint="eastAsia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4BE5A"/>
    <w:multiLevelType w:val="singleLevel"/>
    <w:tmpl w:val="CBD4BE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7B21243"/>
    <w:multiLevelType w:val="singleLevel"/>
    <w:tmpl w:val="37B21243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ODc1OGU0MjBlYzM4MGE0NjgwNTY5NDkzOWUwOWEifQ=="/>
  </w:docVars>
  <w:rsids>
    <w:rsidRoot w:val="29FF6835"/>
    <w:rsid w:val="00105DA3"/>
    <w:rsid w:val="00305C51"/>
    <w:rsid w:val="004325CA"/>
    <w:rsid w:val="007A7AC7"/>
    <w:rsid w:val="007D6823"/>
    <w:rsid w:val="00850D49"/>
    <w:rsid w:val="008F7194"/>
    <w:rsid w:val="00F12023"/>
    <w:rsid w:val="011E06FB"/>
    <w:rsid w:val="012C109E"/>
    <w:rsid w:val="01816074"/>
    <w:rsid w:val="01A23917"/>
    <w:rsid w:val="01A9549E"/>
    <w:rsid w:val="02131202"/>
    <w:rsid w:val="03896C19"/>
    <w:rsid w:val="03C509ED"/>
    <w:rsid w:val="03DE38CA"/>
    <w:rsid w:val="042454BB"/>
    <w:rsid w:val="04B61227"/>
    <w:rsid w:val="04C459CD"/>
    <w:rsid w:val="04E11F8A"/>
    <w:rsid w:val="05103DD8"/>
    <w:rsid w:val="053B1CDE"/>
    <w:rsid w:val="058D5D4D"/>
    <w:rsid w:val="062705BD"/>
    <w:rsid w:val="063B5F75"/>
    <w:rsid w:val="06605891"/>
    <w:rsid w:val="067B34D7"/>
    <w:rsid w:val="06C561C1"/>
    <w:rsid w:val="07307585"/>
    <w:rsid w:val="075302ED"/>
    <w:rsid w:val="07AE57BE"/>
    <w:rsid w:val="07F60268"/>
    <w:rsid w:val="08591AAE"/>
    <w:rsid w:val="08A871D4"/>
    <w:rsid w:val="098F0E42"/>
    <w:rsid w:val="099050C1"/>
    <w:rsid w:val="09DC3DD1"/>
    <w:rsid w:val="0A37370D"/>
    <w:rsid w:val="0A8D0DDC"/>
    <w:rsid w:val="0A960E4A"/>
    <w:rsid w:val="0B9A61B6"/>
    <w:rsid w:val="0C7F3C5F"/>
    <w:rsid w:val="0D0D2B49"/>
    <w:rsid w:val="0D2B505E"/>
    <w:rsid w:val="0D930258"/>
    <w:rsid w:val="0D9725E2"/>
    <w:rsid w:val="0DBC7694"/>
    <w:rsid w:val="0DE015E9"/>
    <w:rsid w:val="0E502A91"/>
    <w:rsid w:val="0E69067C"/>
    <w:rsid w:val="0E8C1C7C"/>
    <w:rsid w:val="0F9B68B4"/>
    <w:rsid w:val="0FF97849"/>
    <w:rsid w:val="10A83379"/>
    <w:rsid w:val="10B0207D"/>
    <w:rsid w:val="10BD1393"/>
    <w:rsid w:val="11573B34"/>
    <w:rsid w:val="1186014D"/>
    <w:rsid w:val="11BF45D3"/>
    <w:rsid w:val="11EA5AC2"/>
    <w:rsid w:val="121D42C8"/>
    <w:rsid w:val="12634BBB"/>
    <w:rsid w:val="12961DF1"/>
    <w:rsid w:val="12F2370C"/>
    <w:rsid w:val="13BF379A"/>
    <w:rsid w:val="13DA14D8"/>
    <w:rsid w:val="13DD594B"/>
    <w:rsid w:val="13DD7E2F"/>
    <w:rsid w:val="140F469E"/>
    <w:rsid w:val="14697CC2"/>
    <w:rsid w:val="16DA2BA9"/>
    <w:rsid w:val="16EC6C2A"/>
    <w:rsid w:val="171A1041"/>
    <w:rsid w:val="17E321D0"/>
    <w:rsid w:val="180D2DAA"/>
    <w:rsid w:val="184C2C9E"/>
    <w:rsid w:val="18FB292A"/>
    <w:rsid w:val="19133403"/>
    <w:rsid w:val="19937860"/>
    <w:rsid w:val="19F65454"/>
    <w:rsid w:val="1A8A3DEE"/>
    <w:rsid w:val="1B781C36"/>
    <w:rsid w:val="1B8A3F97"/>
    <w:rsid w:val="1B915FA6"/>
    <w:rsid w:val="1BAE589F"/>
    <w:rsid w:val="1BC8218D"/>
    <w:rsid w:val="1BD869EA"/>
    <w:rsid w:val="1C056C6A"/>
    <w:rsid w:val="1C181D02"/>
    <w:rsid w:val="1C71309A"/>
    <w:rsid w:val="1D8B27AF"/>
    <w:rsid w:val="1E70639D"/>
    <w:rsid w:val="1EE23AA4"/>
    <w:rsid w:val="1EE976BD"/>
    <w:rsid w:val="1FBE2C03"/>
    <w:rsid w:val="1FC3127A"/>
    <w:rsid w:val="1FDA2765"/>
    <w:rsid w:val="1FE94E3F"/>
    <w:rsid w:val="208C5EB4"/>
    <w:rsid w:val="20BB6BE9"/>
    <w:rsid w:val="21414AD4"/>
    <w:rsid w:val="214F352B"/>
    <w:rsid w:val="21B56669"/>
    <w:rsid w:val="22366262"/>
    <w:rsid w:val="225C2B32"/>
    <w:rsid w:val="22AA1BB0"/>
    <w:rsid w:val="22E35F04"/>
    <w:rsid w:val="23107385"/>
    <w:rsid w:val="23851FDE"/>
    <w:rsid w:val="24881CFD"/>
    <w:rsid w:val="249632EE"/>
    <w:rsid w:val="24AF004F"/>
    <w:rsid w:val="254F2D71"/>
    <w:rsid w:val="25713821"/>
    <w:rsid w:val="25E42F4C"/>
    <w:rsid w:val="261C3CBA"/>
    <w:rsid w:val="26296922"/>
    <w:rsid w:val="26FB4CC9"/>
    <w:rsid w:val="274D30B7"/>
    <w:rsid w:val="274E7059"/>
    <w:rsid w:val="278273E3"/>
    <w:rsid w:val="282D55F9"/>
    <w:rsid w:val="291C5A59"/>
    <w:rsid w:val="29475E08"/>
    <w:rsid w:val="29FF6835"/>
    <w:rsid w:val="2A315768"/>
    <w:rsid w:val="2AF40302"/>
    <w:rsid w:val="2AF96686"/>
    <w:rsid w:val="2B4E5AF0"/>
    <w:rsid w:val="2B53427C"/>
    <w:rsid w:val="2B7F4B52"/>
    <w:rsid w:val="2BAA4B37"/>
    <w:rsid w:val="2BB45B4C"/>
    <w:rsid w:val="2C097269"/>
    <w:rsid w:val="2C296A61"/>
    <w:rsid w:val="2C7A05C5"/>
    <w:rsid w:val="2CBB562B"/>
    <w:rsid w:val="2CD80EB7"/>
    <w:rsid w:val="2CFA2C1A"/>
    <w:rsid w:val="2D722624"/>
    <w:rsid w:val="2D93518D"/>
    <w:rsid w:val="2E304791"/>
    <w:rsid w:val="2E6E3196"/>
    <w:rsid w:val="2E8431E8"/>
    <w:rsid w:val="2EBA403E"/>
    <w:rsid w:val="2EE445C3"/>
    <w:rsid w:val="2F042683"/>
    <w:rsid w:val="2F0430D9"/>
    <w:rsid w:val="2F0A7ED5"/>
    <w:rsid w:val="2F1948E5"/>
    <w:rsid w:val="2F2862AD"/>
    <w:rsid w:val="2F873628"/>
    <w:rsid w:val="30492420"/>
    <w:rsid w:val="3050129A"/>
    <w:rsid w:val="30A94A5A"/>
    <w:rsid w:val="30AD6141"/>
    <w:rsid w:val="30CC2F55"/>
    <w:rsid w:val="31045334"/>
    <w:rsid w:val="310F6D2D"/>
    <w:rsid w:val="31137BE2"/>
    <w:rsid w:val="31427EC9"/>
    <w:rsid w:val="31654BED"/>
    <w:rsid w:val="31B6685F"/>
    <w:rsid w:val="31E97368"/>
    <w:rsid w:val="31FC74BD"/>
    <w:rsid w:val="326829E0"/>
    <w:rsid w:val="32BD3B7C"/>
    <w:rsid w:val="330A3A55"/>
    <w:rsid w:val="332A5280"/>
    <w:rsid w:val="33402A36"/>
    <w:rsid w:val="33564D33"/>
    <w:rsid w:val="33596D28"/>
    <w:rsid w:val="3402727D"/>
    <w:rsid w:val="355A4C36"/>
    <w:rsid w:val="35952024"/>
    <w:rsid w:val="35FB3FDB"/>
    <w:rsid w:val="36062975"/>
    <w:rsid w:val="3656288D"/>
    <w:rsid w:val="36BA46A4"/>
    <w:rsid w:val="36E425B0"/>
    <w:rsid w:val="374D6800"/>
    <w:rsid w:val="37DA04DE"/>
    <w:rsid w:val="380666E2"/>
    <w:rsid w:val="380A68EF"/>
    <w:rsid w:val="384C7E45"/>
    <w:rsid w:val="391A0AA2"/>
    <w:rsid w:val="391C7AF8"/>
    <w:rsid w:val="39C246B3"/>
    <w:rsid w:val="39F56D80"/>
    <w:rsid w:val="39F86F16"/>
    <w:rsid w:val="3A1E5B93"/>
    <w:rsid w:val="3A322C82"/>
    <w:rsid w:val="3A401A38"/>
    <w:rsid w:val="3A53071B"/>
    <w:rsid w:val="3B232C6B"/>
    <w:rsid w:val="3B2E2F96"/>
    <w:rsid w:val="3B691AD2"/>
    <w:rsid w:val="3B7F5231"/>
    <w:rsid w:val="3C3E3313"/>
    <w:rsid w:val="3C4663FC"/>
    <w:rsid w:val="3C504A40"/>
    <w:rsid w:val="3C6B4829"/>
    <w:rsid w:val="3C6C51AA"/>
    <w:rsid w:val="3C6C667A"/>
    <w:rsid w:val="3CBB6355"/>
    <w:rsid w:val="3D18620C"/>
    <w:rsid w:val="3D53592D"/>
    <w:rsid w:val="3D7402E5"/>
    <w:rsid w:val="3D8F6D3A"/>
    <w:rsid w:val="3D956C21"/>
    <w:rsid w:val="3F3F501C"/>
    <w:rsid w:val="40247392"/>
    <w:rsid w:val="403346F2"/>
    <w:rsid w:val="40AA5F80"/>
    <w:rsid w:val="413B6AE5"/>
    <w:rsid w:val="416D5F60"/>
    <w:rsid w:val="4170333A"/>
    <w:rsid w:val="426E6816"/>
    <w:rsid w:val="42813BA5"/>
    <w:rsid w:val="4319744F"/>
    <w:rsid w:val="43C415EA"/>
    <w:rsid w:val="449216C5"/>
    <w:rsid w:val="44AB5189"/>
    <w:rsid w:val="44AC177A"/>
    <w:rsid w:val="45455A32"/>
    <w:rsid w:val="456773A3"/>
    <w:rsid w:val="45805F3C"/>
    <w:rsid w:val="45DE5036"/>
    <w:rsid w:val="45F044C7"/>
    <w:rsid w:val="4670555B"/>
    <w:rsid w:val="468A79BC"/>
    <w:rsid w:val="47133C4A"/>
    <w:rsid w:val="47434A64"/>
    <w:rsid w:val="477B0F50"/>
    <w:rsid w:val="47A33BEB"/>
    <w:rsid w:val="485955C0"/>
    <w:rsid w:val="48750051"/>
    <w:rsid w:val="48926F14"/>
    <w:rsid w:val="48A37F59"/>
    <w:rsid w:val="48CC79C6"/>
    <w:rsid w:val="495B3934"/>
    <w:rsid w:val="49A8151A"/>
    <w:rsid w:val="49C153DF"/>
    <w:rsid w:val="4A2D6DAB"/>
    <w:rsid w:val="4ACD334C"/>
    <w:rsid w:val="4ADB3431"/>
    <w:rsid w:val="4AEF1BE0"/>
    <w:rsid w:val="4B044EEC"/>
    <w:rsid w:val="4B25502E"/>
    <w:rsid w:val="4B581FB5"/>
    <w:rsid w:val="4BED0FA6"/>
    <w:rsid w:val="4BF55F46"/>
    <w:rsid w:val="4DB36AAF"/>
    <w:rsid w:val="4DC77968"/>
    <w:rsid w:val="4E0A79B5"/>
    <w:rsid w:val="4E234981"/>
    <w:rsid w:val="4EBF6E85"/>
    <w:rsid w:val="4EC97573"/>
    <w:rsid w:val="4F0B3538"/>
    <w:rsid w:val="4F0C7DCF"/>
    <w:rsid w:val="4F555155"/>
    <w:rsid w:val="4FCA2F54"/>
    <w:rsid w:val="501D3799"/>
    <w:rsid w:val="504326F6"/>
    <w:rsid w:val="507E76AF"/>
    <w:rsid w:val="50AF30EB"/>
    <w:rsid w:val="50D650BC"/>
    <w:rsid w:val="51125628"/>
    <w:rsid w:val="5125554D"/>
    <w:rsid w:val="51380A70"/>
    <w:rsid w:val="514813E1"/>
    <w:rsid w:val="515F540F"/>
    <w:rsid w:val="517F3510"/>
    <w:rsid w:val="51AC6325"/>
    <w:rsid w:val="51CA4634"/>
    <w:rsid w:val="51CB371B"/>
    <w:rsid w:val="52357485"/>
    <w:rsid w:val="52F90A47"/>
    <w:rsid w:val="53D61016"/>
    <w:rsid w:val="53E00123"/>
    <w:rsid w:val="540D09A1"/>
    <w:rsid w:val="540F5432"/>
    <w:rsid w:val="550A459F"/>
    <w:rsid w:val="55306844"/>
    <w:rsid w:val="555C5B58"/>
    <w:rsid w:val="558311E4"/>
    <w:rsid w:val="56091C13"/>
    <w:rsid w:val="56272EBF"/>
    <w:rsid w:val="56AD2ED4"/>
    <w:rsid w:val="56B92990"/>
    <w:rsid w:val="572049A0"/>
    <w:rsid w:val="574B40C7"/>
    <w:rsid w:val="575711FC"/>
    <w:rsid w:val="57700E02"/>
    <w:rsid w:val="57A95942"/>
    <w:rsid w:val="57D31A24"/>
    <w:rsid w:val="582D05A6"/>
    <w:rsid w:val="589422A1"/>
    <w:rsid w:val="58EC2FEC"/>
    <w:rsid w:val="593B7A0D"/>
    <w:rsid w:val="59613991"/>
    <w:rsid w:val="5963576F"/>
    <w:rsid w:val="59BE2367"/>
    <w:rsid w:val="5A4F3D2B"/>
    <w:rsid w:val="5A5154EE"/>
    <w:rsid w:val="5A6A2857"/>
    <w:rsid w:val="5AE64A95"/>
    <w:rsid w:val="5B0B3A73"/>
    <w:rsid w:val="5B46008B"/>
    <w:rsid w:val="5B6477A6"/>
    <w:rsid w:val="5BC60A95"/>
    <w:rsid w:val="5BD62B97"/>
    <w:rsid w:val="5C0C7B5B"/>
    <w:rsid w:val="5C6C1A13"/>
    <w:rsid w:val="5CFE5757"/>
    <w:rsid w:val="5D2F4848"/>
    <w:rsid w:val="5D587316"/>
    <w:rsid w:val="5D9A60B4"/>
    <w:rsid w:val="5DA00DA2"/>
    <w:rsid w:val="5DD24369"/>
    <w:rsid w:val="5DDF1675"/>
    <w:rsid w:val="5E002C1D"/>
    <w:rsid w:val="5EDF1C98"/>
    <w:rsid w:val="5F583FBA"/>
    <w:rsid w:val="5F6718F6"/>
    <w:rsid w:val="5FA112CD"/>
    <w:rsid w:val="5FB30C10"/>
    <w:rsid w:val="5FC17FF9"/>
    <w:rsid w:val="5FD95354"/>
    <w:rsid w:val="5FFB5771"/>
    <w:rsid w:val="601404D3"/>
    <w:rsid w:val="60E776AE"/>
    <w:rsid w:val="613E69B9"/>
    <w:rsid w:val="614547A8"/>
    <w:rsid w:val="61590693"/>
    <w:rsid w:val="61A26728"/>
    <w:rsid w:val="61A95247"/>
    <w:rsid w:val="61F90AE2"/>
    <w:rsid w:val="6241488A"/>
    <w:rsid w:val="62C5556D"/>
    <w:rsid w:val="62E95FC8"/>
    <w:rsid w:val="63294CED"/>
    <w:rsid w:val="632E12E4"/>
    <w:rsid w:val="63DD5405"/>
    <w:rsid w:val="646662BD"/>
    <w:rsid w:val="6499036E"/>
    <w:rsid w:val="64C31CE4"/>
    <w:rsid w:val="64D269C0"/>
    <w:rsid w:val="6529472B"/>
    <w:rsid w:val="656C1414"/>
    <w:rsid w:val="65732AB2"/>
    <w:rsid w:val="6639374F"/>
    <w:rsid w:val="664A5207"/>
    <w:rsid w:val="664E4664"/>
    <w:rsid w:val="6742006B"/>
    <w:rsid w:val="67DC1822"/>
    <w:rsid w:val="67E76B3B"/>
    <w:rsid w:val="685E0CA3"/>
    <w:rsid w:val="687A7BE1"/>
    <w:rsid w:val="689B4B78"/>
    <w:rsid w:val="695403BA"/>
    <w:rsid w:val="69B53097"/>
    <w:rsid w:val="69BC0EAC"/>
    <w:rsid w:val="6A5269DD"/>
    <w:rsid w:val="6A5A70EF"/>
    <w:rsid w:val="6A633007"/>
    <w:rsid w:val="6AA65A0C"/>
    <w:rsid w:val="6B37762A"/>
    <w:rsid w:val="6C6E66FE"/>
    <w:rsid w:val="6CB54521"/>
    <w:rsid w:val="6CC822C4"/>
    <w:rsid w:val="6D0175BD"/>
    <w:rsid w:val="6D4044B4"/>
    <w:rsid w:val="6D795F9A"/>
    <w:rsid w:val="6DB9456C"/>
    <w:rsid w:val="6DD67021"/>
    <w:rsid w:val="6DD6781E"/>
    <w:rsid w:val="6E400CA6"/>
    <w:rsid w:val="6F312BDD"/>
    <w:rsid w:val="6FDA2A36"/>
    <w:rsid w:val="7094567F"/>
    <w:rsid w:val="72B2236D"/>
    <w:rsid w:val="73115F76"/>
    <w:rsid w:val="73967818"/>
    <w:rsid w:val="73CC6935"/>
    <w:rsid w:val="73EF2863"/>
    <w:rsid w:val="74292549"/>
    <w:rsid w:val="744D6741"/>
    <w:rsid w:val="74652404"/>
    <w:rsid w:val="74B85361"/>
    <w:rsid w:val="74C41874"/>
    <w:rsid w:val="74F46D19"/>
    <w:rsid w:val="75783CEB"/>
    <w:rsid w:val="75B142BD"/>
    <w:rsid w:val="75F7301C"/>
    <w:rsid w:val="760A71C3"/>
    <w:rsid w:val="760B188F"/>
    <w:rsid w:val="764857BA"/>
    <w:rsid w:val="76AC184A"/>
    <w:rsid w:val="76D92666"/>
    <w:rsid w:val="770C3641"/>
    <w:rsid w:val="77534403"/>
    <w:rsid w:val="7768703C"/>
    <w:rsid w:val="778E4EBC"/>
    <w:rsid w:val="77C0391A"/>
    <w:rsid w:val="784374D5"/>
    <w:rsid w:val="784B4BAB"/>
    <w:rsid w:val="785030C2"/>
    <w:rsid w:val="789373E5"/>
    <w:rsid w:val="789C67D4"/>
    <w:rsid w:val="78A50DF1"/>
    <w:rsid w:val="78D15ECE"/>
    <w:rsid w:val="791E196A"/>
    <w:rsid w:val="7920239F"/>
    <w:rsid w:val="793A089A"/>
    <w:rsid w:val="794F2C12"/>
    <w:rsid w:val="79C47553"/>
    <w:rsid w:val="79CC3A86"/>
    <w:rsid w:val="79DF218E"/>
    <w:rsid w:val="79E11C5B"/>
    <w:rsid w:val="7A80121D"/>
    <w:rsid w:val="7A9824EB"/>
    <w:rsid w:val="7B02598F"/>
    <w:rsid w:val="7B6842F1"/>
    <w:rsid w:val="7B6847B1"/>
    <w:rsid w:val="7B7963D8"/>
    <w:rsid w:val="7BBD25FB"/>
    <w:rsid w:val="7BF12B7C"/>
    <w:rsid w:val="7C000F1B"/>
    <w:rsid w:val="7C1A0566"/>
    <w:rsid w:val="7C7D6C2B"/>
    <w:rsid w:val="7C8A1848"/>
    <w:rsid w:val="7D866262"/>
    <w:rsid w:val="7DAE3D11"/>
    <w:rsid w:val="7DB75188"/>
    <w:rsid w:val="7E1D2AB0"/>
    <w:rsid w:val="7E246A30"/>
    <w:rsid w:val="7E8B3EB0"/>
    <w:rsid w:val="7E977BD0"/>
    <w:rsid w:val="7EC82167"/>
    <w:rsid w:val="7F1D5927"/>
    <w:rsid w:val="7F400EAB"/>
    <w:rsid w:val="7F7F64DF"/>
    <w:rsid w:val="7FA630D1"/>
    <w:rsid w:val="7FFB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rPr>
      <w:snapToGrid w:val="0"/>
      <w:sz w:val="24"/>
      <w:lang w:eastAsia="en-US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header"/>
    <w:basedOn w:val="1"/>
    <w:next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Date"/>
    <w:basedOn w:val="1"/>
    <w:next w:val="1"/>
    <w:qFormat/>
    <w:uiPriority w:val="0"/>
    <w:rPr>
      <w:sz w:val="24"/>
      <w:szCs w:val="20"/>
    </w:rPr>
  </w:style>
  <w:style w:type="paragraph" w:styleId="9">
    <w:name w:val="Block Text"/>
    <w:basedOn w:val="1"/>
    <w:qFormat/>
    <w:uiPriority w:val="0"/>
    <w:pPr>
      <w:widowControl/>
      <w:tabs>
        <w:tab w:val="right" w:pos="8640"/>
      </w:tabs>
      <w:spacing w:after="120"/>
      <w:ind w:left="1440" w:leftChars="700" w:right="1440"/>
    </w:pPr>
    <w:rPr>
      <w:rFonts w:ascii="Garamond" w:hAnsi="Garamond" w:eastAsia="Times New Roman"/>
      <w:spacing w:val="-2"/>
      <w:kern w:val="0"/>
      <w:sz w:val="24"/>
    </w:rPr>
  </w:style>
  <w:style w:type="paragraph" w:styleId="10">
    <w:name w:val="Plain Text"/>
    <w:basedOn w:val="1"/>
    <w:qFormat/>
    <w:uiPriority w:val="99"/>
    <w:rPr>
      <w:rFonts w:ascii="宋体" w:hAnsi="Courier New"/>
      <w:szCs w:val="20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paragraph" w:styleId="1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6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17">
    <w:name w:val="日期1"/>
    <w:basedOn w:val="1"/>
    <w:next w:val="1"/>
    <w:qFormat/>
    <w:uiPriority w:val="0"/>
    <w:pPr>
      <w:adjustRightInd w:val="0"/>
      <w:spacing w:line="360" w:lineRule="atLeast"/>
      <w:textAlignment w:val="baseline"/>
    </w:pPr>
    <w:rPr>
      <w:rFonts w:ascii="宋体" w:eastAsia="Wingdings"/>
      <w:kern w:val="0"/>
      <w:sz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标准正文"/>
    <w:basedOn w:val="1"/>
    <w:qFormat/>
    <w:uiPriority w:val="0"/>
    <w:pPr>
      <w:widowControl/>
      <w:ind w:firstLine="420"/>
      <w:jc w:val="left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11</Pages>
  <Words>3735</Words>
  <Characters>4312</Characters>
  <Lines>31</Lines>
  <Paragraphs>8</Paragraphs>
  <TotalTime>1</TotalTime>
  <ScaleCrop>false</ScaleCrop>
  <LinksUpToDate>false</LinksUpToDate>
  <CharactersWithSpaces>4631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疯魔</cp:lastModifiedBy>
  <cp:lastPrinted>2023-09-05T08:20:00Z</cp:lastPrinted>
  <dcterms:modified xsi:type="dcterms:W3CDTF">2023-09-12T00:00:39Z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1B7CEB7870E2454A879AC3343CEA583A</vt:lpwstr>
  </property>
</Properties>
</file>