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ABDB8">
      <w:pPr>
        <w:spacing w:line="360" w:lineRule="auto"/>
        <w:ind w:firstLine="883"/>
        <w:jc w:val="center"/>
        <w:rPr>
          <w:rFonts w:hint="eastAsia"/>
          <w:b/>
          <w:sz w:val="44"/>
          <w:szCs w:val="44"/>
        </w:rPr>
      </w:pPr>
    </w:p>
    <w:p w14:paraId="211C23F9">
      <w:pPr>
        <w:pStyle w:val="6"/>
        <w:rPr>
          <w:rFonts w:hint="eastAsia"/>
        </w:rPr>
      </w:pPr>
    </w:p>
    <w:p w14:paraId="4F9CDB9A">
      <w:pPr>
        <w:spacing w:line="360" w:lineRule="auto"/>
        <w:ind w:firstLine="482"/>
        <w:jc w:val="center"/>
        <w:rPr>
          <w:rFonts w:hint="eastAsia" w:hAnsi="宋体"/>
          <w:b/>
          <w:sz w:val="48"/>
          <w:szCs w:val="48"/>
        </w:rPr>
      </w:pPr>
      <w:r>
        <w:rPr>
          <w:b/>
          <w:sz w:val="24"/>
        </w:rPr>
        <w:drawing>
          <wp:anchor distT="0" distB="0" distL="114300" distR="114300" simplePos="0" relativeHeight="251659264" behindDoc="0" locked="0" layoutInCell="1" allowOverlap="1">
            <wp:simplePos x="0" y="0"/>
            <wp:positionH relativeFrom="margin">
              <wp:posOffset>2169160</wp:posOffset>
            </wp:positionH>
            <wp:positionV relativeFrom="paragraph">
              <wp:posOffset>-953135</wp:posOffset>
            </wp:positionV>
            <wp:extent cx="1605280" cy="1679575"/>
            <wp:effectExtent l="0" t="0" r="13970" b="15875"/>
            <wp:wrapSquare wrapText="bothSides"/>
            <wp:docPr id="3" name="图片 1" descr="D:\桌面文件\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D:\桌面文件\图片1.png图片1"/>
                    <pic:cNvPicPr>
                      <a:picLocks noChangeAspect="1"/>
                    </pic:cNvPicPr>
                  </pic:nvPicPr>
                  <pic:blipFill>
                    <a:blip r:embed="rId5"/>
                    <a:stretch>
                      <a:fillRect/>
                    </a:stretch>
                  </pic:blipFill>
                  <pic:spPr>
                    <a:xfrm>
                      <a:off x="0" y="0"/>
                      <a:ext cx="1605280" cy="1679575"/>
                    </a:xfrm>
                    <a:prstGeom prst="rect">
                      <a:avLst/>
                    </a:prstGeom>
                    <a:noFill/>
                    <a:ln>
                      <a:noFill/>
                    </a:ln>
                  </pic:spPr>
                </pic:pic>
              </a:graphicData>
            </a:graphic>
          </wp:anchor>
        </w:drawing>
      </w:r>
    </w:p>
    <w:p w14:paraId="4FA17C1C">
      <w:pPr>
        <w:spacing w:line="360" w:lineRule="auto"/>
        <w:ind w:firstLine="964"/>
        <w:jc w:val="center"/>
        <w:rPr>
          <w:rFonts w:hint="eastAsia" w:hAnsi="宋体"/>
          <w:b/>
          <w:sz w:val="48"/>
          <w:szCs w:val="48"/>
        </w:rPr>
      </w:pPr>
    </w:p>
    <w:p w14:paraId="326BF6E9">
      <w:pPr>
        <w:pStyle w:val="6"/>
        <w:jc w:val="center"/>
        <w:rPr>
          <w:rFonts w:hint="eastAsia" w:hAnsi="宋体" w:eastAsia="宋体"/>
          <w:b/>
          <w:sz w:val="44"/>
          <w:szCs w:val="44"/>
        </w:rPr>
      </w:pPr>
      <w:r>
        <w:rPr>
          <w:rFonts w:hint="eastAsia" w:hAnsi="宋体" w:eastAsia="宋体"/>
          <w:b/>
          <w:sz w:val="44"/>
          <w:szCs w:val="44"/>
        </w:rPr>
        <w:t>内蒙古神东天隆集团煤矸石综合利用项目</w:t>
      </w:r>
    </w:p>
    <w:p w14:paraId="36C9A8AC">
      <w:pPr>
        <w:pStyle w:val="6"/>
        <w:spacing w:before="120" w:beforeLines="50" w:line="360" w:lineRule="auto"/>
        <w:jc w:val="center"/>
        <w:rPr>
          <w:rFonts w:hint="eastAsia" w:hAnsi="宋体" w:eastAsia="宋体"/>
          <w:b/>
          <w:sz w:val="44"/>
          <w:szCs w:val="44"/>
        </w:rPr>
      </w:pPr>
      <w:r>
        <w:rPr>
          <w:rFonts w:hint="eastAsia" w:hAnsi="宋体" w:eastAsia="宋体"/>
          <w:b/>
          <w:sz w:val="44"/>
          <w:szCs w:val="44"/>
        </w:rPr>
        <w:t>可行性研究报告招标技术要求</w:t>
      </w:r>
    </w:p>
    <w:p w14:paraId="35CDE1B4">
      <w:pPr>
        <w:pStyle w:val="6"/>
        <w:rPr>
          <w:rFonts w:hint="eastAsia"/>
        </w:rPr>
      </w:pPr>
    </w:p>
    <w:p w14:paraId="365886F1">
      <w:pPr>
        <w:pStyle w:val="6"/>
        <w:rPr>
          <w:rFonts w:hint="eastAsia"/>
        </w:rPr>
      </w:pPr>
    </w:p>
    <w:p w14:paraId="7D3D8923">
      <w:pPr>
        <w:pStyle w:val="6"/>
        <w:rPr>
          <w:rFonts w:hint="eastAsia"/>
        </w:rPr>
      </w:pPr>
    </w:p>
    <w:p w14:paraId="3CC30FC2">
      <w:pPr>
        <w:spacing w:line="360" w:lineRule="auto"/>
        <w:ind w:firstLine="883"/>
        <w:jc w:val="center"/>
        <w:rPr>
          <w:rFonts w:hint="eastAsia"/>
          <w:b/>
          <w:sz w:val="44"/>
          <w:szCs w:val="44"/>
        </w:rPr>
      </w:pPr>
    </w:p>
    <w:p w14:paraId="22404BB0">
      <w:pPr>
        <w:spacing w:line="360" w:lineRule="auto"/>
        <w:ind w:firstLine="883"/>
        <w:jc w:val="center"/>
        <w:rPr>
          <w:rFonts w:hint="eastAsia"/>
          <w:b/>
          <w:sz w:val="44"/>
          <w:szCs w:val="44"/>
        </w:rPr>
      </w:pPr>
    </w:p>
    <w:p w14:paraId="17A459FC">
      <w:pPr>
        <w:spacing w:line="360" w:lineRule="auto"/>
        <w:ind w:firstLine="883"/>
        <w:jc w:val="center"/>
        <w:rPr>
          <w:rFonts w:hint="eastAsia"/>
          <w:b/>
          <w:sz w:val="44"/>
          <w:szCs w:val="44"/>
        </w:rPr>
      </w:pPr>
    </w:p>
    <w:p w14:paraId="42A91554">
      <w:pPr>
        <w:spacing w:line="360" w:lineRule="auto"/>
        <w:ind w:firstLine="643"/>
        <w:rPr>
          <w:rFonts w:hint="eastAsia"/>
          <w:b/>
          <w:sz w:val="32"/>
          <w:szCs w:val="32"/>
        </w:rPr>
      </w:pPr>
    </w:p>
    <w:p w14:paraId="44B4E651">
      <w:pPr>
        <w:spacing w:line="360" w:lineRule="auto"/>
        <w:ind w:firstLine="3213" w:firstLineChars="1000"/>
        <w:rPr>
          <w:rFonts w:hint="eastAsia"/>
          <w:b/>
          <w:sz w:val="32"/>
          <w:szCs w:val="32"/>
        </w:rPr>
      </w:pPr>
      <w:r>
        <w:rPr>
          <w:rFonts w:hint="eastAsia"/>
          <w:b/>
          <w:sz w:val="32"/>
          <w:szCs w:val="32"/>
        </w:rPr>
        <w:t>生产技术部</w:t>
      </w:r>
      <w:r>
        <w:rPr>
          <w:b/>
          <w:sz w:val="32"/>
          <w:szCs w:val="32"/>
        </w:rPr>
        <w:t>：</w:t>
      </w:r>
    </w:p>
    <w:p w14:paraId="224C1F3C">
      <w:pPr>
        <w:spacing w:line="360" w:lineRule="auto"/>
        <w:ind w:firstLine="3213" w:firstLineChars="1000"/>
        <w:rPr>
          <w:rFonts w:hint="eastAsia"/>
          <w:b/>
          <w:sz w:val="32"/>
          <w:szCs w:val="32"/>
        </w:rPr>
      </w:pPr>
    </w:p>
    <w:p w14:paraId="3F5F2335">
      <w:pPr>
        <w:spacing w:line="360" w:lineRule="auto"/>
        <w:ind w:firstLine="3213" w:firstLineChars="1000"/>
        <w:rPr>
          <w:rFonts w:hint="eastAsia"/>
          <w:b/>
          <w:sz w:val="32"/>
          <w:szCs w:val="32"/>
        </w:rPr>
      </w:pPr>
      <w:r>
        <w:rPr>
          <w:rFonts w:hint="eastAsia"/>
          <w:b/>
          <w:sz w:val="32"/>
          <w:szCs w:val="32"/>
        </w:rPr>
        <w:t>分管领导：</w:t>
      </w:r>
    </w:p>
    <w:p w14:paraId="6BE3133A">
      <w:pPr>
        <w:spacing w:line="360" w:lineRule="auto"/>
        <w:ind w:firstLine="3213" w:firstLineChars="1000"/>
        <w:rPr>
          <w:rFonts w:hint="eastAsia"/>
          <w:b/>
          <w:sz w:val="32"/>
          <w:szCs w:val="32"/>
        </w:rPr>
      </w:pPr>
    </w:p>
    <w:p w14:paraId="6CA0ED95">
      <w:pPr>
        <w:spacing w:line="360" w:lineRule="auto"/>
        <w:ind w:firstLine="643"/>
        <w:jc w:val="center"/>
        <w:rPr>
          <w:rFonts w:hint="eastAsia"/>
          <w:b/>
          <w:sz w:val="32"/>
          <w:szCs w:val="32"/>
        </w:rPr>
      </w:pPr>
      <w:r>
        <w:rPr>
          <w:rFonts w:hint="eastAsia"/>
          <w:b/>
          <w:sz w:val="32"/>
          <w:szCs w:val="32"/>
        </w:rPr>
        <w:t xml:space="preserve">  编制时间：二〇二五年十月</w:t>
      </w:r>
    </w:p>
    <w:p w14:paraId="6AF47921">
      <w:pPr>
        <w:spacing w:line="360" w:lineRule="auto"/>
        <w:ind w:firstLine="4176" w:firstLineChars="1300"/>
        <w:rPr>
          <w:rFonts w:hint="eastAsia"/>
          <w:b/>
          <w:sz w:val="32"/>
          <w:szCs w:val="32"/>
        </w:rPr>
      </w:pPr>
    </w:p>
    <w:p w14:paraId="1A593582">
      <w:pPr>
        <w:spacing w:line="360" w:lineRule="auto"/>
        <w:ind w:firstLine="643"/>
        <w:rPr>
          <w:rFonts w:ascii="Times New Roman" w:hAnsi="Times New Roman" w:cs="Times New Roman"/>
          <w:b/>
          <w:bCs/>
          <w:kern w:val="44"/>
          <w:sz w:val="30"/>
          <w:szCs w:val="30"/>
        </w:rPr>
        <w:sectPr>
          <w:footerReference r:id="rId3" w:type="default"/>
          <w:pgSz w:w="12240" w:h="15840"/>
          <w:pgMar w:top="1440" w:right="1440" w:bottom="1440" w:left="1440" w:header="720" w:footer="720" w:gutter="0"/>
          <w:pgNumType w:start="1"/>
          <w:cols w:space="720" w:num="1"/>
          <w:docGrid w:linePitch="360" w:charSpace="0"/>
        </w:sectPr>
      </w:pPr>
    </w:p>
    <w:p w14:paraId="469FAF46">
      <w:pPr>
        <w:pStyle w:val="2"/>
        <w:keepNext w:val="0"/>
        <w:keepLines w:val="0"/>
        <w:pageBreakBefore w:val="0"/>
        <w:widowControl/>
        <w:kinsoku/>
        <w:wordWrap/>
        <w:overflowPunct/>
        <w:topLinePunct w:val="0"/>
        <w:autoSpaceDE/>
        <w:autoSpaceDN/>
        <w:bidi w:val="0"/>
        <w:adjustRightInd/>
        <w:snapToGrid/>
        <w:spacing w:line="560" w:lineRule="exact"/>
        <w:jc w:val="center"/>
        <w:textAlignment w:val="auto"/>
        <w:rPr>
          <w:sz w:val="44"/>
          <w:szCs w:val="44"/>
        </w:rPr>
      </w:pPr>
      <w:r>
        <w:rPr>
          <w:sz w:val="44"/>
          <w:szCs w:val="44"/>
        </w:rPr>
        <w:t>内蒙古神东天隆集团煤矸石综合利用项目</w:t>
      </w:r>
    </w:p>
    <w:p w14:paraId="0A09B021">
      <w:pPr>
        <w:pStyle w:val="2"/>
        <w:keepNext w:val="0"/>
        <w:keepLines w:val="0"/>
        <w:pageBreakBefore w:val="0"/>
        <w:widowControl/>
        <w:kinsoku/>
        <w:wordWrap/>
        <w:overflowPunct/>
        <w:topLinePunct w:val="0"/>
        <w:autoSpaceDE/>
        <w:autoSpaceDN/>
        <w:bidi w:val="0"/>
        <w:adjustRightInd/>
        <w:snapToGrid/>
        <w:spacing w:line="560" w:lineRule="exact"/>
        <w:jc w:val="center"/>
        <w:textAlignment w:val="auto"/>
        <w:rPr>
          <w:sz w:val="44"/>
          <w:szCs w:val="44"/>
        </w:rPr>
      </w:pPr>
      <w:r>
        <w:rPr>
          <w:sz w:val="44"/>
          <w:szCs w:val="44"/>
        </w:rPr>
        <w:t>可行性研究报告招标技术要求</w:t>
      </w:r>
    </w:p>
    <w:p w14:paraId="00BEC4DC">
      <w:pPr>
        <w:pStyle w:val="3"/>
        <w:ind w:firstLine="643" w:firstLineChars="200"/>
        <w:rPr>
          <w:rFonts w:hint="eastAsia" w:ascii="黑体" w:hAnsi="黑体" w:eastAsia="黑体" w:cs="黑体"/>
        </w:rPr>
      </w:pPr>
      <w:r>
        <w:rPr>
          <w:rFonts w:hint="eastAsia" w:ascii="黑体" w:hAnsi="黑体" w:eastAsia="黑体" w:cs="黑体"/>
        </w:rPr>
        <w:t>一、项目建设背景及主要任务</w:t>
      </w:r>
    </w:p>
    <w:p w14:paraId="327D2D74">
      <w:pPr>
        <w:pStyle w:val="4"/>
        <w:keepNext w:val="0"/>
        <w:keepLines w:val="0"/>
        <w:pageBreakBefore w:val="0"/>
        <w:widowControl/>
        <w:suppressLineNumbers w:val="0"/>
        <w:kinsoku/>
        <w:wordWrap/>
        <w:overflowPunct/>
        <w:topLinePunct w:val="0"/>
        <w:autoSpaceDE/>
        <w:autoSpaceDN/>
        <w:bidi w:val="0"/>
        <w:adjustRightInd/>
        <w:snapToGrid/>
        <w:spacing w:before="100" w:beforeAutospacing="0" w:after="100" w:afterAutospacing="0" w:line="600" w:lineRule="exact"/>
        <w:ind w:left="0" w:firstLine="640" w:firstLineChars="200"/>
        <w:jc w:val="left"/>
        <w:textAlignment w:val="auto"/>
        <w:rPr>
          <w:rFonts w:hint="eastAsia" w:ascii="楷体" w:hAnsi="楷体" w:eastAsia="楷体" w:cs="楷体"/>
          <w:i w:val="0"/>
          <w:iCs w:val="0"/>
          <w:caps w:val="0"/>
          <w:color w:val="000000"/>
          <w:spacing w:val="0"/>
          <w:kern w:val="0"/>
          <w:sz w:val="32"/>
          <w:szCs w:val="32"/>
          <w:lang w:val="en-US" w:eastAsia="zh-CN" w:bidi="ar"/>
        </w:rPr>
      </w:pPr>
      <w:r>
        <w:rPr>
          <w:rFonts w:hint="eastAsia" w:ascii="楷体" w:hAnsi="楷体" w:eastAsia="楷体" w:cs="楷体"/>
          <w:i w:val="0"/>
          <w:iCs w:val="0"/>
          <w:caps w:val="0"/>
          <w:color w:val="000000"/>
          <w:spacing w:val="0"/>
          <w:kern w:val="0"/>
          <w:sz w:val="32"/>
          <w:szCs w:val="32"/>
          <w:lang w:val="en-US" w:eastAsia="zh-CN" w:bidi="ar"/>
        </w:rPr>
        <w:t>（一）项目背景</w:t>
      </w:r>
    </w:p>
    <w:p w14:paraId="74F19C57">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内蒙古神东天隆集团股份有限公司（以下简称“集团公司”）下属核心煤矿包括霍洛湾煤矿、武家塔露天煤矿及大海则煤矿，当前各煤矿累计年产煤矸石约50万吨。从生产发展趋势来看，一方面，随着井工煤矿产量稳步提升，且开采煤层逐渐变薄，煤矸石这类固体废弃物的产量将持续增加，固废处置压力逐年加大；另一方面，武家塔露天煤矿浅部煤炭资源开采已临近设计境界，井田范围内已形成规模较大的矿坑，矿坑的后续利用与生态修复成为亟待解决的关键问题。在此背景下，如何实现井工煤矿煤矸石固废的合理处置，同时推动武家塔煤矿露天矿坑的高价值生态修复与“变废为宝”，已成为集团公司保障生产持续推进、践行环保责任的核心难题。</w:t>
      </w:r>
    </w:p>
    <w:p w14:paraId="3AE63CF8">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有效破解上述难题，集团公司严格依据《中华人民共和国固体废物污染环境防治法》《内蒙古自治区固体废物污染环境防治条例》《榆林市工业固体废物污染防治管理办法（试行）》及《煤矸石综合利用管理办法》等国家、地方及行业层面的政策法规要求，结合自身生产实际需求，计划启动“内蒙古神东天隆集团煤矸石综合利用项目可行性研究报告”的编制工作，旨在通过科学系统的可行性研究，为煤矸石综合利用项目的落地实施提供坚实的技术支撑与决策依据。</w:t>
      </w:r>
    </w:p>
    <w:p w14:paraId="556726E4">
      <w:pPr>
        <w:pStyle w:val="4"/>
        <w:keepNext w:val="0"/>
        <w:keepLines w:val="0"/>
        <w:pageBreakBefore w:val="0"/>
        <w:widowControl/>
        <w:suppressLineNumbers w:val="0"/>
        <w:kinsoku/>
        <w:wordWrap/>
        <w:overflowPunct/>
        <w:topLinePunct w:val="0"/>
        <w:autoSpaceDE/>
        <w:autoSpaceDN/>
        <w:bidi w:val="0"/>
        <w:adjustRightInd/>
        <w:snapToGrid/>
        <w:spacing w:before="100" w:beforeAutospacing="0" w:after="100" w:afterAutospacing="0" w:line="600" w:lineRule="exact"/>
        <w:ind w:left="0" w:firstLine="640" w:firstLineChars="200"/>
        <w:jc w:val="left"/>
        <w:textAlignment w:val="auto"/>
        <w:rPr>
          <w:rFonts w:hint="eastAsia" w:ascii="楷体" w:hAnsi="楷体" w:eastAsia="楷体" w:cs="楷体"/>
          <w:i w:val="0"/>
          <w:iCs w:val="0"/>
          <w:caps w:val="0"/>
          <w:color w:val="000000"/>
          <w:spacing w:val="0"/>
          <w:kern w:val="0"/>
          <w:sz w:val="32"/>
          <w:szCs w:val="32"/>
          <w:lang w:val="en-US" w:eastAsia="zh-CN" w:bidi="ar"/>
        </w:rPr>
      </w:pPr>
      <w:r>
        <w:rPr>
          <w:rFonts w:hint="eastAsia" w:ascii="楷体" w:hAnsi="楷体" w:eastAsia="楷体" w:cs="楷体"/>
          <w:i w:val="0"/>
          <w:iCs w:val="0"/>
          <w:caps w:val="0"/>
          <w:color w:val="000000"/>
          <w:spacing w:val="0"/>
          <w:kern w:val="0"/>
          <w:sz w:val="32"/>
          <w:szCs w:val="32"/>
          <w:lang w:val="en-US" w:eastAsia="zh-CN" w:bidi="ar"/>
        </w:rPr>
        <w:t>（二）主要任务</w:t>
      </w:r>
    </w:p>
    <w:p w14:paraId="3352979E">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本项目可行性研究报告编制的核心任务围绕 “煤矸石无害化处置、矿坑生态修复、资源高值利用”三大目标展开，具体包括以下内容：</w:t>
      </w:r>
    </w:p>
    <w:p w14:paraId="6F271A49">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Style w:val="14"/>
          <w:rFonts w:hint="eastAsia" w:ascii="仿宋" w:hAnsi="仿宋" w:eastAsia="仿宋" w:cs="仿宋"/>
          <w:bCs w:val="0"/>
          <w:i w:val="0"/>
          <w:iCs w:val="0"/>
          <w:caps w:val="0"/>
          <w:color w:val="000000"/>
          <w:spacing w:val="0"/>
          <w:kern w:val="2"/>
          <w:sz w:val="32"/>
          <w:szCs w:val="32"/>
          <w:lang w:val="en-US" w:eastAsia="zh-CN" w:bidi="ar-SA"/>
        </w:rPr>
        <w:t>1.市场需求调研及价格预测：</w:t>
      </w:r>
      <w:r>
        <w:rPr>
          <w:rFonts w:hint="eastAsia" w:ascii="仿宋" w:hAnsi="仿宋" w:eastAsia="仿宋" w:cs="仿宋"/>
          <w:sz w:val="32"/>
          <w:szCs w:val="32"/>
        </w:rPr>
        <w:t>系统调研神东矿区武家塔露天煤矿周边矿井的煤矸石产生量、现有处置方式及未来处置需求；同时，通过现场勘察、数据测算等方式，精确核算武家塔露天煤矿现有采坑的空间容纳能力，为项目处理规模</w:t>
      </w:r>
      <w:r>
        <w:rPr>
          <w:rFonts w:hint="eastAsia" w:ascii="仿宋" w:hAnsi="仿宋" w:eastAsia="仿宋" w:cs="仿宋"/>
          <w:sz w:val="32"/>
          <w:szCs w:val="32"/>
          <w:lang w:val="en-US" w:eastAsia="zh-CN"/>
        </w:rPr>
        <w:t>及处理价格</w:t>
      </w:r>
      <w:r>
        <w:rPr>
          <w:rFonts w:hint="eastAsia" w:ascii="仿宋" w:hAnsi="仿宋" w:eastAsia="仿宋" w:cs="仿宋"/>
          <w:sz w:val="32"/>
          <w:szCs w:val="32"/>
        </w:rPr>
        <w:t>的确定提供基础数据支撑。</w:t>
      </w:r>
    </w:p>
    <w:p w14:paraId="0012A39D">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Style w:val="14"/>
          <w:rFonts w:hint="eastAsia" w:ascii="仿宋" w:hAnsi="仿宋" w:eastAsia="仿宋" w:cs="仿宋"/>
          <w:bCs w:val="0"/>
          <w:i w:val="0"/>
          <w:iCs w:val="0"/>
          <w:caps w:val="0"/>
          <w:color w:val="000000"/>
          <w:spacing w:val="0"/>
          <w:kern w:val="2"/>
          <w:sz w:val="32"/>
          <w:szCs w:val="32"/>
          <w:lang w:val="en-US" w:eastAsia="zh-CN" w:bidi="ar-SA"/>
        </w:rPr>
        <w:t>2.技术经济性分析：</w:t>
      </w:r>
      <w:r>
        <w:rPr>
          <w:rFonts w:hint="eastAsia" w:ascii="仿宋" w:hAnsi="仿宋" w:eastAsia="仿宋" w:cs="仿宋"/>
          <w:sz w:val="32"/>
          <w:szCs w:val="32"/>
        </w:rPr>
        <w:t>在调研矿坑空间容量的基础上，充分结合武家塔露天煤矿矿区生态恢复的整体规划要求，研究通过</w:t>
      </w:r>
      <w:r>
        <w:rPr>
          <w:rFonts w:hint="eastAsia" w:ascii="仿宋" w:hAnsi="仿宋" w:eastAsia="仿宋" w:cs="仿宋"/>
          <w:sz w:val="32"/>
          <w:szCs w:val="32"/>
          <w:lang w:val="en-US" w:eastAsia="zh-CN"/>
        </w:rPr>
        <w:t>相应技术</w:t>
      </w:r>
      <w:r>
        <w:rPr>
          <w:rFonts w:hint="eastAsia" w:ascii="仿宋" w:hAnsi="仿宋" w:eastAsia="仿宋" w:cs="仿宋"/>
          <w:sz w:val="32"/>
          <w:szCs w:val="32"/>
        </w:rPr>
        <w:t>对煤矸石进行无害化处理后，实现其在矿坑充填、生态修复材料等领域的高值利用路径，确保技术方案既满足环保要求，又具备经济可行性。</w:t>
      </w:r>
    </w:p>
    <w:p w14:paraId="7966B5A0">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Style w:val="14"/>
          <w:rFonts w:hint="eastAsia" w:ascii="仿宋" w:hAnsi="仿宋" w:eastAsia="仿宋" w:cs="仿宋"/>
          <w:bCs w:val="0"/>
          <w:i w:val="0"/>
          <w:iCs w:val="0"/>
          <w:caps w:val="0"/>
          <w:color w:val="000000"/>
          <w:spacing w:val="0"/>
          <w:kern w:val="2"/>
          <w:sz w:val="32"/>
          <w:szCs w:val="32"/>
          <w:lang w:val="en-US" w:eastAsia="zh-CN" w:bidi="ar-SA"/>
        </w:rPr>
        <w:t>3.报告编制与合规保障：</w:t>
      </w:r>
      <w:r>
        <w:rPr>
          <w:rFonts w:hint="eastAsia" w:ascii="仿宋" w:hAnsi="仿宋" w:eastAsia="仿宋" w:cs="仿宋"/>
          <w:sz w:val="32"/>
          <w:szCs w:val="32"/>
        </w:rPr>
        <w:t>通过对上述调研数据、技术路径、经济指标的综合分析，最终编制完成《内蒙古神东天隆集团股份有限公司煤矸石综合利用项目可行性研究报告》。报告</w:t>
      </w:r>
      <w:r>
        <w:rPr>
          <w:rFonts w:hint="eastAsia" w:ascii="仿宋" w:hAnsi="仿宋" w:eastAsia="仿宋" w:cs="仿宋"/>
          <w:sz w:val="32"/>
          <w:szCs w:val="32"/>
          <w:lang w:val="en-US" w:eastAsia="zh-CN"/>
        </w:rPr>
        <w:t>须就项目的可行性提出明确意见</w:t>
      </w:r>
      <w:r>
        <w:rPr>
          <w:rFonts w:hint="eastAsia" w:ascii="仿宋" w:hAnsi="仿宋" w:eastAsia="仿宋" w:cs="仿宋"/>
          <w:sz w:val="32"/>
          <w:szCs w:val="32"/>
        </w:rPr>
        <w:t>。</w:t>
      </w:r>
    </w:p>
    <w:p w14:paraId="1D6DD69A">
      <w:pPr>
        <w:pStyle w:val="3"/>
        <w:ind w:firstLine="643" w:firstLineChars="200"/>
        <w:rPr>
          <w:rFonts w:hint="eastAsia" w:ascii="黑体" w:hAnsi="黑体" w:eastAsia="黑体" w:cs="黑体"/>
        </w:rPr>
      </w:pPr>
      <w:r>
        <w:rPr>
          <w:rFonts w:hint="eastAsia" w:ascii="黑体" w:hAnsi="黑体" w:eastAsia="黑体" w:cs="黑体"/>
        </w:rPr>
        <w:t>二、项目资金来源</w:t>
      </w:r>
    </w:p>
    <w:p w14:paraId="5B2F4C7E">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本项目可行性研究报告编制及后续项目实施所需资金均由内蒙古神东天隆集团股份有限公司</w:t>
      </w:r>
      <w:r>
        <w:rPr>
          <w:rFonts w:hint="eastAsia" w:ascii="仿宋" w:hAnsi="仿宋" w:eastAsia="仿宋" w:cs="仿宋"/>
          <w:b/>
          <w:bCs/>
          <w:sz w:val="32"/>
          <w:szCs w:val="32"/>
        </w:rPr>
        <w:t>企业自筹</w:t>
      </w:r>
      <w:bookmarkStart w:id="0" w:name="_GoBack"/>
      <w:bookmarkEnd w:id="0"/>
      <w:r>
        <w:rPr>
          <w:rFonts w:hint="eastAsia" w:ascii="仿宋" w:hAnsi="仿宋" w:eastAsia="仿宋" w:cs="仿宋"/>
          <w:sz w:val="32"/>
          <w:szCs w:val="32"/>
        </w:rPr>
        <w:t>。</w:t>
      </w:r>
    </w:p>
    <w:p w14:paraId="54863EA6">
      <w:pPr>
        <w:pStyle w:val="3"/>
        <w:ind w:firstLine="643" w:firstLineChars="200"/>
        <w:rPr>
          <w:rFonts w:hint="eastAsia" w:ascii="黑体" w:hAnsi="黑体" w:eastAsia="黑体" w:cs="黑体"/>
        </w:rPr>
      </w:pPr>
      <w:r>
        <w:rPr>
          <w:rFonts w:hint="eastAsia" w:ascii="黑体" w:hAnsi="黑体" w:eastAsia="黑体" w:cs="黑体"/>
        </w:rPr>
        <w:t>三、技术要求</w:t>
      </w:r>
    </w:p>
    <w:p w14:paraId="7F6DAA91">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为确保可行性研究报告的科学性、严谨性与实用性，报告编制需满足以下技术内容及要求，各环节研究深度需达到行业可行性研究报告编制规范标准，数据来源需真实可靠，分析结论需具备可落地性：</w:t>
      </w:r>
    </w:p>
    <w:p w14:paraId="7FD6FB5D">
      <w:pPr>
        <w:pStyle w:val="4"/>
        <w:keepNext w:val="0"/>
        <w:keepLines w:val="0"/>
        <w:pageBreakBefore w:val="0"/>
        <w:widowControl/>
        <w:suppressLineNumbers w:val="0"/>
        <w:kinsoku/>
        <w:wordWrap/>
        <w:overflowPunct/>
        <w:topLinePunct w:val="0"/>
        <w:autoSpaceDE/>
        <w:autoSpaceDN/>
        <w:bidi w:val="0"/>
        <w:adjustRightInd/>
        <w:snapToGrid/>
        <w:spacing w:before="100" w:beforeAutospacing="0" w:after="100" w:afterAutospacing="0" w:line="600" w:lineRule="exact"/>
        <w:ind w:left="0" w:firstLine="640" w:firstLineChars="200"/>
        <w:jc w:val="left"/>
        <w:textAlignment w:val="auto"/>
        <w:rPr>
          <w:rFonts w:hint="eastAsia" w:ascii="楷体" w:hAnsi="楷体" w:eastAsia="楷体" w:cs="楷体"/>
          <w:i w:val="0"/>
          <w:iCs w:val="0"/>
          <w:caps w:val="0"/>
          <w:color w:val="000000"/>
          <w:spacing w:val="0"/>
          <w:kern w:val="0"/>
          <w:sz w:val="32"/>
          <w:szCs w:val="32"/>
          <w:lang w:val="en-US" w:eastAsia="zh-CN" w:bidi="ar"/>
        </w:rPr>
      </w:pPr>
      <w:r>
        <w:rPr>
          <w:rFonts w:hint="eastAsia" w:ascii="楷体" w:hAnsi="楷体" w:eastAsia="楷体" w:cs="楷体"/>
          <w:i w:val="0"/>
          <w:iCs w:val="0"/>
          <w:caps w:val="0"/>
          <w:color w:val="000000"/>
          <w:spacing w:val="0"/>
          <w:kern w:val="0"/>
          <w:sz w:val="32"/>
          <w:szCs w:val="32"/>
          <w:lang w:val="en-US" w:eastAsia="zh-CN" w:bidi="ar"/>
        </w:rPr>
        <w:t>（一）煤矸石处置情况及政策分析</w:t>
      </w:r>
    </w:p>
    <w:p w14:paraId="649E9DB2">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Style w:val="14"/>
          <w:rFonts w:hint="eastAsia" w:ascii="仿宋" w:hAnsi="仿宋" w:eastAsia="仿宋" w:cs="仿宋"/>
          <w:bCs w:val="0"/>
          <w:i w:val="0"/>
          <w:iCs w:val="0"/>
          <w:caps w:val="0"/>
          <w:color w:val="000000"/>
          <w:spacing w:val="0"/>
          <w:kern w:val="2"/>
          <w:sz w:val="32"/>
          <w:szCs w:val="32"/>
          <w:lang w:val="en-US" w:eastAsia="zh-CN" w:bidi="ar-SA"/>
        </w:rPr>
        <w:t>1.处置现状调研：</w:t>
      </w:r>
      <w:r>
        <w:rPr>
          <w:rFonts w:hint="eastAsia" w:ascii="仿宋" w:hAnsi="仿宋" w:eastAsia="仿宋" w:cs="仿宋"/>
          <w:sz w:val="32"/>
          <w:szCs w:val="32"/>
        </w:rPr>
        <w:t>全面调研国内煤矸石固废处置的整体现状，重点聚焦神东矿区及周边区域（如榆林市、鄂尔多斯市等）的煤矸石处置情况，梳理区域内主要煤矿的煤矸石产生量、处置方式、处置成本及环保达标情况，形成区域处置现状分析报告。</w:t>
      </w:r>
    </w:p>
    <w:p w14:paraId="7F212AC6">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Style w:val="14"/>
          <w:rFonts w:hint="eastAsia" w:ascii="仿宋" w:hAnsi="仿宋" w:eastAsia="仿宋" w:cs="仿宋"/>
          <w:bCs w:val="0"/>
          <w:i w:val="0"/>
          <w:iCs w:val="0"/>
          <w:caps w:val="0"/>
          <w:color w:val="000000"/>
          <w:spacing w:val="0"/>
          <w:kern w:val="2"/>
          <w:sz w:val="32"/>
          <w:szCs w:val="32"/>
          <w:lang w:val="en-US" w:eastAsia="zh-CN" w:bidi="ar-SA"/>
        </w:rPr>
        <w:t>2.政策法规梳理：</w:t>
      </w:r>
      <w:r>
        <w:rPr>
          <w:rFonts w:hint="eastAsia" w:ascii="仿宋" w:hAnsi="仿宋" w:eastAsia="仿宋" w:cs="仿宋"/>
          <w:sz w:val="32"/>
          <w:szCs w:val="32"/>
        </w:rPr>
        <w:t>系统收集并分析国家、内蒙古自治区、榆林市及神东矿区所在区域关于环保、固废处置的最新政策法规、行业标准及规划文件（如《“十四五”时期“无废城市”建设工作方案》《煤炭行业绿色矿山建设规范》等），明确煤矸石综合利用项目需遵循的环保要求、审批流程、补贴政策及监管标准，确保项目方案与政策导向高度契合，为项目合规推进提供政策依据。</w:t>
      </w:r>
    </w:p>
    <w:p w14:paraId="71E25F9E">
      <w:pPr>
        <w:pStyle w:val="4"/>
        <w:keepNext w:val="0"/>
        <w:keepLines w:val="0"/>
        <w:pageBreakBefore w:val="0"/>
        <w:widowControl/>
        <w:suppressLineNumbers w:val="0"/>
        <w:kinsoku/>
        <w:wordWrap/>
        <w:overflowPunct/>
        <w:topLinePunct w:val="0"/>
        <w:autoSpaceDE/>
        <w:autoSpaceDN/>
        <w:bidi w:val="0"/>
        <w:adjustRightInd/>
        <w:snapToGrid/>
        <w:spacing w:before="100" w:beforeAutospacing="0" w:after="100" w:afterAutospacing="0" w:line="600" w:lineRule="exact"/>
        <w:ind w:left="0" w:firstLine="640" w:firstLineChars="200"/>
        <w:jc w:val="left"/>
        <w:textAlignment w:val="auto"/>
        <w:rPr>
          <w:rFonts w:hint="eastAsia" w:ascii="楷体" w:hAnsi="楷体" w:eastAsia="楷体" w:cs="楷体"/>
          <w:i w:val="0"/>
          <w:iCs w:val="0"/>
          <w:caps w:val="0"/>
          <w:color w:val="000000"/>
          <w:spacing w:val="0"/>
          <w:kern w:val="0"/>
          <w:sz w:val="32"/>
          <w:szCs w:val="32"/>
          <w:lang w:val="en-US" w:eastAsia="zh-CN" w:bidi="ar"/>
        </w:rPr>
      </w:pPr>
      <w:r>
        <w:rPr>
          <w:rFonts w:hint="eastAsia" w:ascii="楷体" w:hAnsi="楷体" w:eastAsia="楷体" w:cs="楷体"/>
          <w:i w:val="0"/>
          <w:iCs w:val="0"/>
          <w:caps w:val="0"/>
          <w:color w:val="000000"/>
          <w:spacing w:val="0"/>
          <w:kern w:val="0"/>
          <w:sz w:val="32"/>
          <w:szCs w:val="32"/>
          <w:lang w:val="en-US" w:eastAsia="zh-CN" w:bidi="ar"/>
        </w:rPr>
        <w:t>（二）周边矿井煤矸石</w:t>
      </w:r>
      <w:r>
        <w:rPr>
          <w:rFonts w:hint="eastAsia" w:ascii="楷体" w:hAnsi="楷体" w:eastAsia="楷体" w:cs="楷体"/>
          <w:i w:val="0"/>
          <w:iCs w:val="0"/>
          <w:caps w:val="0"/>
          <w:color w:val="FF0000"/>
          <w:spacing w:val="0"/>
          <w:kern w:val="0"/>
          <w:sz w:val="32"/>
          <w:szCs w:val="32"/>
          <w:lang w:val="en-US" w:eastAsia="zh-CN" w:bidi="ar"/>
        </w:rPr>
        <w:t>市场需求预测</w:t>
      </w:r>
    </w:p>
    <w:p w14:paraId="44F0152C">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Style w:val="14"/>
          <w:rFonts w:hint="eastAsia" w:ascii="仿宋" w:hAnsi="仿宋" w:eastAsia="仿宋" w:cs="仿宋"/>
          <w:bCs w:val="0"/>
          <w:i w:val="0"/>
          <w:iCs w:val="0"/>
          <w:caps w:val="0"/>
          <w:color w:val="000000"/>
          <w:spacing w:val="0"/>
          <w:kern w:val="2"/>
          <w:sz w:val="32"/>
          <w:szCs w:val="32"/>
          <w:lang w:val="en-US" w:eastAsia="zh-CN" w:bidi="ar-SA"/>
        </w:rPr>
        <w:t>1.现状调研：</w:t>
      </w:r>
      <w:r>
        <w:rPr>
          <w:rFonts w:hint="eastAsia" w:ascii="仿宋" w:hAnsi="仿宋" w:eastAsia="仿宋" w:cs="仿宋"/>
          <w:sz w:val="32"/>
          <w:szCs w:val="32"/>
          <w:lang w:val="en-US" w:eastAsia="zh-CN"/>
        </w:rPr>
        <w:t>对神东矿区武家塔露天煤矿周边的主要矿井（包括国有大型煤矿、地方中小型煤矿）进行调研，核实各矿井当前的煤炭产量、煤矸石产生系数、现有煤矸石处置能力及处置缺口，掌握周边矿井煤矸石处置的实际需求及痛点（如处置成本过高、环保不达标等）。</w:t>
      </w:r>
    </w:p>
    <w:p w14:paraId="60C1C986">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color w:val="0000FF"/>
          <w:sz w:val="32"/>
          <w:szCs w:val="32"/>
          <w:lang w:val="en-US" w:eastAsia="zh-CN"/>
        </w:rPr>
      </w:pPr>
      <w:r>
        <w:rPr>
          <w:rStyle w:val="14"/>
          <w:rFonts w:hint="eastAsia" w:ascii="仿宋" w:hAnsi="仿宋" w:eastAsia="仿宋" w:cs="仿宋"/>
          <w:bCs w:val="0"/>
          <w:i w:val="0"/>
          <w:iCs w:val="0"/>
          <w:caps w:val="0"/>
          <w:color w:val="000000"/>
          <w:spacing w:val="0"/>
          <w:kern w:val="2"/>
          <w:sz w:val="32"/>
          <w:szCs w:val="32"/>
          <w:lang w:val="en-US" w:eastAsia="zh-CN" w:bidi="ar-SA"/>
        </w:rPr>
        <w:t>2.需求预测：</w:t>
      </w:r>
      <w:r>
        <w:rPr>
          <w:rFonts w:hint="eastAsia" w:ascii="仿宋" w:hAnsi="仿宋" w:eastAsia="仿宋" w:cs="仿宋"/>
          <w:sz w:val="32"/>
          <w:szCs w:val="32"/>
          <w:lang w:val="en-US" w:eastAsia="zh-CN"/>
        </w:rPr>
        <w:t>基于周边矿井的煤炭产能规划、开采年限、煤层赋存条件等因素，采用趋势外推法、产能系数法等科学预测方法，预测周边矿井的煤矸石产生量及处置需求，明确本项目在区域煤矸石处置市场中的定位及潜在服务范围，确定煤矸石综合利用项目的</w:t>
      </w:r>
      <w:r>
        <w:rPr>
          <w:rFonts w:hint="eastAsia" w:ascii="仿宋" w:hAnsi="仿宋" w:eastAsia="仿宋" w:cs="仿宋"/>
          <w:b/>
          <w:bCs/>
          <w:color w:val="FF0000"/>
          <w:sz w:val="32"/>
          <w:szCs w:val="32"/>
          <w:lang w:val="en-US" w:eastAsia="zh-CN"/>
        </w:rPr>
        <w:t>处理能力和生产规模</w:t>
      </w:r>
      <w:r>
        <w:rPr>
          <w:rFonts w:hint="eastAsia" w:ascii="仿宋" w:hAnsi="仿宋" w:eastAsia="仿宋" w:cs="仿宋"/>
          <w:color w:val="FF0000"/>
          <w:sz w:val="32"/>
          <w:szCs w:val="32"/>
          <w:lang w:val="en-US" w:eastAsia="zh-CN"/>
        </w:rPr>
        <w:t>，</w:t>
      </w:r>
      <w:r>
        <w:rPr>
          <w:rFonts w:hint="eastAsia" w:ascii="仿宋" w:hAnsi="仿宋" w:eastAsia="仿宋" w:cs="仿宋"/>
          <w:b/>
          <w:bCs/>
          <w:color w:val="FF0000"/>
          <w:sz w:val="32"/>
          <w:szCs w:val="32"/>
          <w:lang w:val="en-US" w:eastAsia="zh-CN"/>
        </w:rPr>
        <w:t>预计处理矸石的价格。</w:t>
      </w:r>
    </w:p>
    <w:p w14:paraId="625FCFE4">
      <w:pPr>
        <w:pStyle w:val="4"/>
        <w:keepNext w:val="0"/>
        <w:keepLines w:val="0"/>
        <w:pageBreakBefore w:val="0"/>
        <w:widowControl/>
        <w:suppressLineNumbers w:val="0"/>
        <w:kinsoku/>
        <w:wordWrap/>
        <w:overflowPunct/>
        <w:topLinePunct w:val="0"/>
        <w:autoSpaceDE/>
        <w:autoSpaceDN/>
        <w:bidi w:val="0"/>
        <w:adjustRightInd/>
        <w:snapToGrid/>
        <w:spacing w:before="100" w:beforeAutospacing="0" w:after="100" w:afterAutospacing="0" w:line="600" w:lineRule="exact"/>
        <w:ind w:left="0" w:firstLine="640" w:firstLineChars="200"/>
        <w:jc w:val="left"/>
        <w:textAlignment w:val="auto"/>
        <w:rPr>
          <w:rFonts w:hint="eastAsia" w:ascii="楷体" w:hAnsi="楷体" w:eastAsia="楷体" w:cs="楷体"/>
          <w:i w:val="0"/>
          <w:iCs w:val="0"/>
          <w:caps w:val="0"/>
          <w:color w:val="000000"/>
          <w:spacing w:val="0"/>
          <w:kern w:val="0"/>
          <w:sz w:val="32"/>
          <w:szCs w:val="32"/>
          <w:lang w:val="en-US" w:eastAsia="zh-CN" w:bidi="ar"/>
        </w:rPr>
      </w:pPr>
      <w:r>
        <w:rPr>
          <w:rFonts w:hint="eastAsia" w:ascii="楷体" w:hAnsi="楷体" w:eastAsia="楷体" w:cs="楷体"/>
          <w:i w:val="0"/>
          <w:iCs w:val="0"/>
          <w:caps w:val="0"/>
          <w:color w:val="000000"/>
          <w:spacing w:val="0"/>
          <w:kern w:val="0"/>
          <w:sz w:val="32"/>
          <w:szCs w:val="32"/>
          <w:lang w:val="en-US" w:eastAsia="zh-CN" w:bidi="ar"/>
        </w:rPr>
        <w:t>（三）煤矸石处置</w:t>
      </w:r>
      <w:r>
        <w:rPr>
          <w:rFonts w:hint="eastAsia" w:ascii="楷体" w:hAnsi="楷体" w:eastAsia="楷体" w:cs="楷体"/>
          <w:i w:val="0"/>
          <w:iCs w:val="0"/>
          <w:caps w:val="0"/>
          <w:color w:val="FF0000"/>
          <w:spacing w:val="0"/>
          <w:kern w:val="0"/>
          <w:sz w:val="32"/>
          <w:szCs w:val="32"/>
          <w:lang w:val="en-US" w:eastAsia="zh-CN" w:bidi="ar"/>
        </w:rPr>
        <w:t>方案对比</w:t>
      </w:r>
      <w:r>
        <w:rPr>
          <w:rFonts w:hint="eastAsia" w:ascii="楷体" w:hAnsi="楷体" w:eastAsia="楷体" w:cs="楷体"/>
          <w:i w:val="0"/>
          <w:iCs w:val="0"/>
          <w:caps w:val="0"/>
          <w:color w:val="000000"/>
          <w:spacing w:val="0"/>
          <w:kern w:val="0"/>
          <w:sz w:val="32"/>
          <w:szCs w:val="32"/>
          <w:lang w:val="en-US" w:eastAsia="zh-CN" w:bidi="ar"/>
        </w:rPr>
        <w:t>及优化</w:t>
      </w:r>
    </w:p>
    <w:p w14:paraId="1C9C9845">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Style w:val="14"/>
          <w:rFonts w:hint="eastAsia" w:ascii="仿宋" w:hAnsi="仿宋" w:eastAsia="仿宋" w:cs="仿宋"/>
          <w:bCs w:val="0"/>
          <w:i w:val="0"/>
          <w:iCs w:val="0"/>
          <w:caps w:val="0"/>
          <w:color w:val="000000"/>
          <w:spacing w:val="0"/>
          <w:kern w:val="2"/>
          <w:sz w:val="32"/>
          <w:szCs w:val="32"/>
          <w:lang w:val="en-US" w:eastAsia="zh-CN" w:bidi="ar-SA"/>
        </w:rPr>
        <w:t>1.方案对比：</w:t>
      </w:r>
      <w:r>
        <w:rPr>
          <w:rFonts w:hint="eastAsia" w:ascii="仿宋" w:hAnsi="仿宋" w:eastAsia="仿宋" w:cs="仿宋"/>
          <w:sz w:val="32"/>
          <w:szCs w:val="32"/>
          <w:lang w:val="en-US" w:eastAsia="zh-CN"/>
        </w:rPr>
        <w:t>梳理国内当前主流的煤矸石处置方案，包括煤矸石填埋处置（如山谷型填埋场、矿坑填埋）、煤矸石综合利用（如制备建筑骨料、生产水泥混合材、填埋后复垦绿化、提取有用矿物）等，从技术成熟度、处理成本、环保风险、资源利用率、适用条件等维度对不同方案进行对比分析，形成方案对比矩阵。</w:t>
      </w:r>
    </w:p>
    <w:p w14:paraId="56FC4D15">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Style w:val="14"/>
          <w:rFonts w:hint="eastAsia" w:ascii="仿宋" w:hAnsi="仿宋" w:eastAsia="仿宋" w:cs="仿宋"/>
          <w:bCs w:val="0"/>
          <w:i w:val="0"/>
          <w:iCs w:val="0"/>
          <w:caps w:val="0"/>
          <w:color w:val="000000"/>
          <w:spacing w:val="0"/>
          <w:kern w:val="2"/>
          <w:sz w:val="32"/>
          <w:szCs w:val="32"/>
          <w:lang w:val="en-US" w:eastAsia="zh-CN" w:bidi="ar-SA"/>
        </w:rPr>
        <w:t>2.方案确定与优化：</w:t>
      </w:r>
      <w:r>
        <w:rPr>
          <w:rFonts w:hint="eastAsia" w:ascii="仿宋" w:hAnsi="仿宋" w:eastAsia="仿宋" w:cs="仿宋"/>
          <w:sz w:val="32"/>
          <w:szCs w:val="32"/>
          <w:lang w:val="en-US" w:eastAsia="zh-CN"/>
        </w:rPr>
        <w:t>结合本项目的实际条件（如武家塔露天矿坑的空间容量、煤矸石特性、周边市场需求、生态背景值），初步筛选出2-3个适宜的煤矸石处置方案；针对每个初步方案，细化工艺路线（如煤矸石预处理工艺、充填作业流程、生态修复配套工艺）、设备选型（如破碎机、筛分机、输送设备、压实设备）及实施步骤；通过技术经济性比选（如投资回报率、静态回收期、环保达标率）及风险评估（如地质灾害风险、环保超标风险），对方案进行优化，最终确定1个最优的煤矸石处置方案，并制定详细的实施计划（包括建设周期、分阶段任务、关键节点控制等）。</w:t>
      </w:r>
    </w:p>
    <w:p w14:paraId="1F82CED2">
      <w:pPr>
        <w:pStyle w:val="4"/>
        <w:keepNext w:val="0"/>
        <w:keepLines w:val="0"/>
        <w:pageBreakBefore w:val="0"/>
        <w:widowControl/>
        <w:suppressLineNumbers w:val="0"/>
        <w:kinsoku/>
        <w:wordWrap/>
        <w:overflowPunct/>
        <w:topLinePunct w:val="0"/>
        <w:autoSpaceDE/>
        <w:autoSpaceDN/>
        <w:bidi w:val="0"/>
        <w:adjustRightInd/>
        <w:snapToGrid/>
        <w:spacing w:before="100" w:beforeAutospacing="0" w:after="100" w:afterAutospacing="0" w:line="600" w:lineRule="exact"/>
        <w:ind w:left="0" w:firstLine="640" w:firstLineChars="200"/>
        <w:jc w:val="left"/>
        <w:textAlignment w:val="auto"/>
        <w:rPr>
          <w:rFonts w:hint="eastAsia" w:ascii="楷体" w:hAnsi="楷体" w:eastAsia="楷体" w:cs="楷体"/>
          <w:i w:val="0"/>
          <w:iCs w:val="0"/>
          <w:caps w:val="0"/>
          <w:color w:val="000000"/>
          <w:spacing w:val="0"/>
          <w:kern w:val="0"/>
          <w:sz w:val="32"/>
          <w:szCs w:val="32"/>
          <w:lang w:val="en-US" w:eastAsia="zh-CN" w:bidi="ar"/>
        </w:rPr>
      </w:pPr>
      <w:r>
        <w:rPr>
          <w:rFonts w:hint="eastAsia" w:ascii="楷体" w:hAnsi="楷体" w:eastAsia="楷体" w:cs="楷体"/>
          <w:i w:val="0"/>
          <w:iCs w:val="0"/>
          <w:caps w:val="0"/>
          <w:color w:val="000000"/>
          <w:spacing w:val="0"/>
          <w:kern w:val="0"/>
          <w:sz w:val="32"/>
          <w:szCs w:val="32"/>
          <w:lang w:val="en-US" w:eastAsia="zh-CN" w:bidi="ar"/>
        </w:rPr>
        <w:t>（四）生态和安全监测</w:t>
      </w:r>
    </w:p>
    <w:p w14:paraId="212B9A84">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提出煤矸石处置和矿坑修复后的生态、安全监测方案，对煤矸石、水质、土壤、植被等进行监测。监测数据及报告需存档备查，作为项目验收及后续监管的依据。</w:t>
      </w:r>
    </w:p>
    <w:p w14:paraId="7BEBD544">
      <w:pPr>
        <w:pStyle w:val="4"/>
        <w:keepNext w:val="0"/>
        <w:keepLines w:val="0"/>
        <w:pageBreakBefore w:val="0"/>
        <w:widowControl/>
        <w:suppressLineNumbers w:val="0"/>
        <w:kinsoku/>
        <w:wordWrap/>
        <w:overflowPunct/>
        <w:topLinePunct w:val="0"/>
        <w:autoSpaceDE/>
        <w:autoSpaceDN/>
        <w:bidi w:val="0"/>
        <w:adjustRightInd/>
        <w:snapToGrid/>
        <w:spacing w:before="100" w:beforeAutospacing="0" w:after="100" w:afterAutospacing="0" w:line="600" w:lineRule="exact"/>
        <w:ind w:left="0" w:firstLine="640" w:firstLineChars="200"/>
        <w:jc w:val="left"/>
        <w:textAlignment w:val="auto"/>
        <w:rPr>
          <w:rFonts w:hint="eastAsia" w:ascii="楷体" w:hAnsi="楷体" w:eastAsia="楷体" w:cs="楷体"/>
          <w:i w:val="0"/>
          <w:iCs w:val="0"/>
          <w:caps w:val="0"/>
          <w:color w:val="000000"/>
          <w:spacing w:val="0"/>
          <w:kern w:val="0"/>
          <w:sz w:val="32"/>
          <w:szCs w:val="32"/>
          <w:lang w:val="en-US" w:eastAsia="zh-CN" w:bidi="ar"/>
        </w:rPr>
      </w:pPr>
      <w:r>
        <w:rPr>
          <w:rFonts w:hint="eastAsia" w:ascii="楷体" w:hAnsi="楷体" w:eastAsia="楷体" w:cs="楷体"/>
          <w:i w:val="0"/>
          <w:iCs w:val="0"/>
          <w:caps w:val="0"/>
          <w:color w:val="000000"/>
          <w:spacing w:val="0"/>
          <w:kern w:val="0"/>
          <w:sz w:val="32"/>
          <w:szCs w:val="32"/>
          <w:lang w:val="en-US" w:eastAsia="zh-CN" w:bidi="ar"/>
        </w:rPr>
        <w:t>（五）</w:t>
      </w:r>
      <w:r>
        <w:rPr>
          <w:rFonts w:hint="eastAsia" w:ascii="楷体" w:hAnsi="楷体" w:eastAsia="楷体" w:cs="楷体"/>
          <w:i w:val="0"/>
          <w:iCs w:val="0"/>
          <w:caps w:val="0"/>
          <w:color w:val="FF0000"/>
          <w:spacing w:val="0"/>
          <w:kern w:val="0"/>
          <w:sz w:val="32"/>
          <w:szCs w:val="32"/>
          <w:lang w:val="en-US" w:eastAsia="zh-CN" w:bidi="ar"/>
        </w:rPr>
        <w:t>经济效益分析</w:t>
      </w:r>
    </w:p>
    <w:p w14:paraId="4B71EC6A">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Style w:val="14"/>
          <w:rFonts w:hint="eastAsia" w:ascii="仿宋" w:hAnsi="仿宋" w:eastAsia="仿宋" w:cs="仿宋"/>
          <w:bCs w:val="0"/>
          <w:i w:val="0"/>
          <w:iCs w:val="0"/>
          <w:caps w:val="0"/>
          <w:color w:val="000000"/>
          <w:spacing w:val="0"/>
          <w:kern w:val="2"/>
          <w:sz w:val="32"/>
          <w:szCs w:val="32"/>
          <w:lang w:val="en-US" w:eastAsia="zh-CN" w:bidi="ar-SA"/>
        </w:rPr>
        <w:t>1.投资估算：</w:t>
      </w:r>
      <w:r>
        <w:rPr>
          <w:rFonts w:hint="eastAsia" w:ascii="仿宋" w:hAnsi="仿宋" w:eastAsia="仿宋" w:cs="仿宋"/>
          <w:sz w:val="32"/>
          <w:szCs w:val="32"/>
          <w:lang w:val="en-US" w:eastAsia="zh-CN"/>
        </w:rPr>
        <w:t>按照相关行业定额标准，对确定的煤矸石处置方案进行详细的投资估算。投资估算范围包括前期费用（如勘察设计费、环评费、监理费）、工程费用（如设备购置费、建安工程费、场地平整费）、其他费用（如培训费、预备费、流动资金）等；明确各项费用的计算依据及取费标准，确保投资估算的准确性与完整性。</w:t>
      </w:r>
    </w:p>
    <w:p w14:paraId="5B465019">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Style w:val="14"/>
          <w:rFonts w:hint="eastAsia" w:ascii="仿宋" w:hAnsi="仿宋" w:eastAsia="仿宋" w:cs="仿宋"/>
          <w:bCs w:val="0"/>
          <w:i w:val="0"/>
          <w:iCs w:val="0"/>
          <w:caps w:val="0"/>
          <w:color w:val="000000"/>
          <w:spacing w:val="0"/>
          <w:kern w:val="2"/>
          <w:sz w:val="32"/>
          <w:szCs w:val="32"/>
          <w:lang w:val="en-US" w:eastAsia="zh-CN" w:bidi="ar-SA"/>
        </w:rPr>
      </w:pPr>
      <w:r>
        <w:rPr>
          <w:rStyle w:val="14"/>
          <w:rFonts w:hint="eastAsia" w:ascii="仿宋" w:hAnsi="仿宋" w:eastAsia="仿宋" w:cs="仿宋"/>
          <w:bCs w:val="0"/>
          <w:i w:val="0"/>
          <w:iCs w:val="0"/>
          <w:caps w:val="0"/>
          <w:color w:val="000000"/>
          <w:spacing w:val="0"/>
          <w:kern w:val="2"/>
          <w:sz w:val="32"/>
          <w:szCs w:val="32"/>
          <w:lang w:val="en-US" w:eastAsia="zh-CN" w:bidi="ar-SA"/>
        </w:rPr>
        <w:t>2.</w:t>
      </w:r>
      <w:r>
        <w:rPr>
          <w:rStyle w:val="14"/>
          <w:rFonts w:hint="eastAsia" w:ascii="仿宋" w:hAnsi="仿宋" w:eastAsia="仿宋" w:cs="仿宋"/>
          <w:bCs w:val="0"/>
          <w:i w:val="0"/>
          <w:iCs w:val="0"/>
          <w:caps w:val="0"/>
          <w:color w:val="auto"/>
          <w:spacing w:val="0"/>
          <w:kern w:val="2"/>
          <w:sz w:val="32"/>
          <w:szCs w:val="32"/>
          <w:lang w:val="en-US" w:eastAsia="zh-CN" w:bidi="ar-SA"/>
        </w:rPr>
        <w:t>经济</w:t>
      </w:r>
      <w:r>
        <w:rPr>
          <w:rStyle w:val="14"/>
          <w:rFonts w:hint="eastAsia" w:ascii="仿宋" w:hAnsi="仿宋" w:eastAsia="仿宋" w:cs="仿宋"/>
          <w:bCs w:val="0"/>
          <w:i w:val="0"/>
          <w:iCs w:val="0"/>
          <w:caps w:val="0"/>
          <w:color w:val="000000"/>
          <w:spacing w:val="0"/>
          <w:kern w:val="2"/>
          <w:sz w:val="32"/>
          <w:szCs w:val="32"/>
          <w:lang w:val="en-US" w:eastAsia="zh-CN" w:bidi="ar-SA"/>
        </w:rPr>
        <w:t>效益分析：</w:t>
      </w:r>
    </w:p>
    <w:p w14:paraId="6F875C7B">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收入测算：根据项目处理规模及市场调研结果，测算项目的主要收入来源，包括煤矸石处置费收入（按每吨处置费标准×年处理量计算）、煤矸石综合利用产品销售收入（如建筑骨料销售、复垦土地租赁收入等）、政策补贴收入（如环保补贴、资源综合利用补贴等）。</w:t>
      </w:r>
    </w:p>
    <w:p w14:paraId="1D84E0BF">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成本测算：测算项目的运营成本，包括原材料成本（如煤矸石运输费、药剂费）、人工成本、设备折旧费、水电费、维护费、监测费、税费等。</w:t>
      </w:r>
    </w:p>
    <w:p w14:paraId="352FF871">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盈利指标计算：基于收入与成本测算结果，计算项目的核心盈利指标，包括静态投资回收期、动态投资回收期、投资利润率、投资利税率、内部收益率（IRR）等；同时，进行敏感性分析（如分析处置费价格波动、原材料成本变化对项目盈利的影响），评估项目的抗风险能力。</w:t>
      </w:r>
    </w:p>
    <w:p w14:paraId="7BF9E8B5">
      <w:pPr>
        <w:pStyle w:val="4"/>
        <w:keepNext w:val="0"/>
        <w:keepLines w:val="0"/>
        <w:pageBreakBefore w:val="0"/>
        <w:widowControl/>
        <w:suppressLineNumbers w:val="0"/>
        <w:kinsoku/>
        <w:wordWrap/>
        <w:overflowPunct/>
        <w:topLinePunct w:val="0"/>
        <w:autoSpaceDE/>
        <w:autoSpaceDN/>
        <w:bidi w:val="0"/>
        <w:adjustRightInd/>
        <w:snapToGrid/>
        <w:spacing w:before="100" w:beforeAutospacing="0" w:after="100" w:afterAutospacing="0" w:line="600" w:lineRule="exact"/>
        <w:ind w:left="0" w:firstLine="640" w:firstLineChars="200"/>
        <w:jc w:val="left"/>
        <w:textAlignment w:val="auto"/>
        <w:rPr>
          <w:rFonts w:hint="eastAsia" w:ascii="楷体" w:hAnsi="楷体" w:eastAsia="楷体" w:cs="楷体"/>
          <w:i w:val="0"/>
          <w:iCs w:val="0"/>
          <w:caps w:val="0"/>
          <w:color w:val="000000"/>
          <w:spacing w:val="0"/>
          <w:kern w:val="0"/>
          <w:sz w:val="32"/>
          <w:szCs w:val="32"/>
          <w:lang w:val="en-US" w:eastAsia="zh-CN" w:bidi="ar"/>
        </w:rPr>
      </w:pPr>
      <w:r>
        <w:rPr>
          <w:rFonts w:hint="eastAsia" w:ascii="楷体" w:hAnsi="楷体" w:eastAsia="楷体" w:cs="楷体"/>
          <w:i w:val="0"/>
          <w:iCs w:val="0"/>
          <w:caps w:val="0"/>
          <w:color w:val="000000"/>
          <w:spacing w:val="0"/>
          <w:kern w:val="0"/>
          <w:sz w:val="32"/>
          <w:szCs w:val="32"/>
          <w:lang w:val="en-US" w:eastAsia="zh-CN" w:bidi="ar"/>
        </w:rPr>
        <w:t>（六）结论</w:t>
      </w:r>
    </w:p>
    <w:p w14:paraId="2ED2EB14">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就该项目的</w:t>
      </w:r>
      <w:r>
        <w:rPr>
          <w:rFonts w:hint="eastAsia" w:ascii="仿宋" w:hAnsi="仿宋" w:eastAsia="仿宋" w:cs="仿宋"/>
          <w:b/>
          <w:bCs/>
          <w:color w:val="FF0000"/>
          <w:sz w:val="32"/>
          <w:szCs w:val="32"/>
          <w:lang w:val="en-US" w:eastAsia="zh-CN"/>
        </w:rPr>
        <w:t>可行性</w:t>
      </w:r>
      <w:r>
        <w:rPr>
          <w:rFonts w:hint="eastAsia" w:ascii="仿宋" w:hAnsi="仿宋" w:eastAsia="仿宋" w:cs="仿宋"/>
          <w:sz w:val="32"/>
          <w:szCs w:val="32"/>
          <w:lang w:val="en-US" w:eastAsia="zh-CN"/>
        </w:rPr>
        <w:t>提出明确意见。</w:t>
      </w:r>
    </w:p>
    <w:p w14:paraId="52A725F1">
      <w:pPr>
        <w:pStyle w:val="3"/>
        <w:ind w:firstLine="643" w:firstLineChars="200"/>
        <w:rPr>
          <w:rFonts w:hint="eastAsia" w:ascii="黑体" w:hAnsi="黑体" w:eastAsia="黑体" w:cs="黑体"/>
        </w:rPr>
      </w:pPr>
      <w:r>
        <w:rPr>
          <w:rFonts w:hint="eastAsia" w:ascii="黑体" w:hAnsi="黑体" w:eastAsia="黑体" w:cs="黑体"/>
        </w:rPr>
        <w:t>四、施工工期</w:t>
      </w:r>
    </w:p>
    <w:p w14:paraId="31D5ACEC">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本项目可行性研究报告编制的工期要求为：自合同签订并生效之日起，</w:t>
      </w:r>
      <w:r>
        <w:rPr>
          <w:rFonts w:hint="eastAsia" w:ascii="仿宋" w:hAnsi="仿宋" w:eastAsia="仿宋" w:cs="仿宋"/>
          <w:b/>
          <w:bCs/>
          <w:sz w:val="32"/>
          <w:szCs w:val="32"/>
          <w:lang w:val="en-US" w:eastAsia="zh-CN"/>
        </w:rPr>
        <w:t>两个月</w:t>
      </w:r>
      <w:r>
        <w:rPr>
          <w:rFonts w:hint="eastAsia" w:ascii="仿宋" w:hAnsi="仿宋" w:eastAsia="仿宋" w:cs="仿宋"/>
          <w:sz w:val="32"/>
          <w:szCs w:val="32"/>
          <w:lang w:val="en-US" w:eastAsia="zh-CN"/>
        </w:rPr>
        <w:t>内完成《内蒙古神东天隆集团股份有限公司煤矸石综合利用项目可行性研究报告》的编制工作，并提交符合要求的报告文本（包括纸质版与电子版）。</w:t>
      </w:r>
    </w:p>
    <w:p w14:paraId="29E15A03">
      <w:pPr>
        <w:pStyle w:val="3"/>
        <w:ind w:firstLine="643" w:firstLineChars="200"/>
        <w:rPr>
          <w:rFonts w:hint="eastAsia" w:ascii="黑体" w:hAnsi="黑体" w:eastAsia="黑体" w:cs="黑体"/>
        </w:rPr>
      </w:pPr>
      <w:r>
        <w:rPr>
          <w:rFonts w:hint="eastAsia" w:ascii="黑体" w:hAnsi="黑体" w:eastAsia="黑体" w:cs="黑体"/>
        </w:rPr>
        <w:t>五、施工单位投标的资质及材料</w:t>
      </w:r>
    </w:p>
    <w:p w14:paraId="24044822">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为确保参与本项目可行性研究报告编制的投标单位具备相应的技术能力与服务水平，投标单位需满足以下资质要求，并提交完整的投标材料：</w:t>
      </w:r>
    </w:p>
    <w:p w14:paraId="132B006F">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Style w:val="14"/>
          <w:rFonts w:hint="eastAsia" w:ascii="仿宋" w:hAnsi="仿宋" w:eastAsia="仿宋" w:cs="仿宋"/>
          <w:bCs w:val="0"/>
          <w:i w:val="0"/>
          <w:iCs w:val="0"/>
          <w:caps w:val="0"/>
          <w:color w:val="000000"/>
          <w:spacing w:val="0"/>
          <w:kern w:val="2"/>
          <w:sz w:val="32"/>
          <w:szCs w:val="32"/>
          <w:lang w:val="en-US" w:eastAsia="zh-CN" w:bidi="ar-SA"/>
        </w:rPr>
      </w:pPr>
      <w:r>
        <w:rPr>
          <w:rStyle w:val="14"/>
          <w:rFonts w:hint="eastAsia" w:ascii="仿宋" w:hAnsi="仿宋" w:eastAsia="仿宋" w:cs="仿宋"/>
          <w:bCs w:val="0"/>
          <w:i w:val="0"/>
          <w:iCs w:val="0"/>
          <w:caps w:val="0"/>
          <w:color w:val="000000"/>
          <w:spacing w:val="0"/>
          <w:kern w:val="2"/>
          <w:sz w:val="32"/>
          <w:szCs w:val="32"/>
          <w:lang w:val="en-US" w:eastAsia="zh-CN" w:bidi="ar-SA"/>
        </w:rPr>
        <w:t>1. 主体资格要求</w:t>
      </w:r>
    </w:p>
    <w:p w14:paraId="42D9BA2F">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投标单位须为在中华人民共和国境内依法注册的法人或其他组织，能够独立承担民事责任；需提供有效的营业执照（若为企业法人）或事业法人登记证书（若为事业单位），营业执照经营范围需包含 “可行性研究报告编制”“环境影响评价”“地质勘察” 或 “固废处置技术服务” 等相关业务内容；投标单位需提供营业执照或事业法人登记证书的扫描件（加盖单位公章），确保证书在有效期内。</w:t>
      </w:r>
    </w:p>
    <w:p w14:paraId="6C39A2B9">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Style w:val="14"/>
          <w:rFonts w:hint="eastAsia" w:ascii="仿宋" w:hAnsi="仿宋" w:eastAsia="仿宋" w:cs="仿宋"/>
          <w:bCs w:val="0"/>
          <w:i w:val="0"/>
          <w:iCs w:val="0"/>
          <w:caps w:val="0"/>
          <w:color w:val="000000"/>
          <w:spacing w:val="0"/>
          <w:kern w:val="2"/>
          <w:sz w:val="32"/>
          <w:szCs w:val="32"/>
          <w:lang w:val="en-US" w:eastAsia="zh-CN" w:bidi="ar-SA"/>
        </w:rPr>
      </w:pPr>
      <w:r>
        <w:rPr>
          <w:rStyle w:val="14"/>
          <w:rFonts w:hint="eastAsia" w:ascii="仿宋" w:hAnsi="仿宋" w:eastAsia="仿宋" w:cs="仿宋"/>
          <w:bCs w:val="0"/>
          <w:i w:val="0"/>
          <w:iCs w:val="0"/>
          <w:caps w:val="0"/>
          <w:color w:val="000000"/>
          <w:spacing w:val="0"/>
          <w:kern w:val="2"/>
          <w:sz w:val="32"/>
          <w:szCs w:val="32"/>
          <w:lang w:val="en-US" w:eastAsia="zh-CN" w:bidi="ar-SA"/>
        </w:rPr>
        <w:t>2. 业绩要求</w:t>
      </w:r>
    </w:p>
    <w:p w14:paraId="55313FA7">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投标截止日近三年内（以合同签订日期为准），投标单位须至少具有1项已完成的“煤矸石利用（或处置）可行性研究报告编制”类似业绩；需提供能证明业绩要求的合同扫描件，合同扫描件须包含以下关键信息：合同买卖双方的盖章页、合同签订日期、服务范围（需明确体现“煤矸石利用/处置可行性研究报告编制”相关内容）、合同金额（若有）；若合同中未明确服务范围或签订日期，需额外提供业主单位出具的业绩证明文件（加盖业主单位公章），证明该业绩的真实性及与本项目的相关性。</w:t>
      </w:r>
    </w:p>
    <w:p w14:paraId="1C71FC72">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Style w:val="14"/>
          <w:rFonts w:hint="eastAsia" w:ascii="仿宋" w:hAnsi="仿宋" w:eastAsia="仿宋" w:cs="仿宋"/>
          <w:bCs w:val="0"/>
          <w:i w:val="0"/>
          <w:iCs w:val="0"/>
          <w:caps w:val="0"/>
          <w:color w:val="000000"/>
          <w:spacing w:val="0"/>
          <w:kern w:val="2"/>
          <w:sz w:val="32"/>
          <w:szCs w:val="32"/>
          <w:lang w:val="en-US" w:eastAsia="zh-CN" w:bidi="ar-SA"/>
        </w:rPr>
      </w:pPr>
      <w:r>
        <w:rPr>
          <w:rStyle w:val="14"/>
          <w:rFonts w:hint="eastAsia" w:ascii="仿宋" w:hAnsi="仿宋" w:eastAsia="仿宋" w:cs="仿宋"/>
          <w:bCs w:val="0"/>
          <w:i w:val="0"/>
          <w:iCs w:val="0"/>
          <w:caps w:val="0"/>
          <w:color w:val="000000"/>
          <w:spacing w:val="0"/>
          <w:kern w:val="2"/>
          <w:sz w:val="32"/>
          <w:szCs w:val="32"/>
          <w:lang w:val="en-US" w:eastAsia="zh-CN" w:bidi="ar-SA"/>
        </w:rPr>
        <w:t>3. 项目负责人资格要求</w:t>
      </w:r>
    </w:p>
    <w:p w14:paraId="03FDFDEC">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项目负责人须具备</w:t>
      </w:r>
      <w:r>
        <w:rPr>
          <w:rFonts w:hint="eastAsia" w:ascii="仿宋" w:hAnsi="仿宋" w:eastAsia="仿宋" w:cs="仿宋"/>
          <w:b/>
          <w:bCs/>
          <w:sz w:val="32"/>
          <w:szCs w:val="32"/>
          <w:lang w:val="en-US" w:eastAsia="zh-CN"/>
        </w:rPr>
        <w:t>环境工程或测绘工程相关专业高级职称</w:t>
      </w:r>
      <w:r>
        <w:rPr>
          <w:rFonts w:hint="eastAsia" w:ascii="仿宋" w:hAnsi="仿宋" w:eastAsia="仿宋" w:cs="仿宋"/>
          <w:sz w:val="32"/>
          <w:szCs w:val="32"/>
          <w:lang w:val="en-US" w:eastAsia="zh-CN"/>
        </w:rPr>
        <w:t>（如高级工程师），需提供项目负责人的职称证书扫描件（加盖投标单位公章）；同时，需提供项目负责人近三年内参与的煤矸石利用（或处置）相关项目业绩证明（如项目合同中项目负责人的签字页、业主单位出具的任职证明等），证明其具备主持本项目可行性研究报告编制的专业能力与经验。</w:t>
      </w:r>
    </w:p>
    <w:p w14:paraId="261D49F3">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Style w:val="14"/>
          <w:rFonts w:hint="eastAsia" w:ascii="仿宋" w:hAnsi="仿宋" w:eastAsia="仿宋" w:cs="仿宋"/>
          <w:bCs w:val="0"/>
          <w:i w:val="0"/>
          <w:iCs w:val="0"/>
          <w:caps w:val="0"/>
          <w:color w:val="000000"/>
          <w:spacing w:val="0"/>
          <w:kern w:val="2"/>
          <w:sz w:val="32"/>
          <w:szCs w:val="32"/>
          <w:lang w:val="en-US" w:eastAsia="zh-CN" w:bidi="ar-SA"/>
        </w:rPr>
      </w:pPr>
      <w:r>
        <w:rPr>
          <w:rStyle w:val="14"/>
          <w:rFonts w:hint="eastAsia" w:ascii="仿宋" w:hAnsi="仿宋" w:eastAsia="仿宋" w:cs="仿宋"/>
          <w:bCs w:val="0"/>
          <w:i w:val="0"/>
          <w:iCs w:val="0"/>
          <w:caps w:val="0"/>
          <w:color w:val="000000"/>
          <w:spacing w:val="0"/>
          <w:kern w:val="2"/>
          <w:sz w:val="32"/>
          <w:szCs w:val="32"/>
          <w:lang w:val="en-US" w:eastAsia="zh-CN" w:bidi="ar-SA"/>
        </w:rPr>
        <w:t>4. 专项资质要求</w:t>
      </w:r>
    </w:p>
    <w:p w14:paraId="3F536F35">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投标单位须提供《地质灾害防治单位资质证书》，且资质等级需为地质灾害评估和治理工程勘察设计甲级。</w:t>
      </w:r>
    </w:p>
    <w:p w14:paraId="4918199F">
      <w:pPr>
        <w:pStyle w:val="2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Style w:val="14"/>
          <w:rFonts w:hint="eastAsia" w:ascii="仿宋" w:hAnsi="仿宋" w:eastAsia="仿宋" w:cs="仿宋"/>
          <w:bCs w:val="0"/>
          <w:i w:val="0"/>
          <w:iCs w:val="0"/>
          <w:caps w:val="0"/>
          <w:color w:val="000000"/>
          <w:spacing w:val="0"/>
          <w:kern w:val="2"/>
          <w:sz w:val="32"/>
          <w:szCs w:val="32"/>
          <w:lang w:val="en-US" w:eastAsia="zh-CN" w:bidi="ar-SA"/>
        </w:rPr>
      </w:pPr>
      <w:r>
        <w:rPr>
          <w:rStyle w:val="14"/>
          <w:rFonts w:hint="eastAsia" w:ascii="仿宋" w:hAnsi="仿宋" w:eastAsia="仿宋" w:cs="仿宋"/>
          <w:bCs w:val="0"/>
          <w:i w:val="0"/>
          <w:iCs w:val="0"/>
          <w:caps w:val="0"/>
          <w:color w:val="000000"/>
          <w:spacing w:val="0"/>
          <w:kern w:val="2"/>
          <w:sz w:val="32"/>
          <w:szCs w:val="32"/>
          <w:lang w:val="en-US" w:eastAsia="zh-CN" w:bidi="ar-SA"/>
        </w:rPr>
        <w:t>5.其他</w:t>
      </w:r>
    </w:p>
    <w:p w14:paraId="4BCBDFB2">
      <w:pPr>
        <w:pStyle w:val="2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投标人须提供法定代表人授权委托书（原件）、被授权人身份证（原件），法定代表人参加投标时，只需提供法定代表人身份证。</w:t>
      </w:r>
    </w:p>
    <w:p w14:paraId="6E3DB4E3">
      <w:pPr>
        <w:spacing w:line="360" w:lineRule="auto"/>
        <w:ind w:firstLine="560" w:firstLineChars="200"/>
        <w:rPr>
          <w:rFonts w:hint="eastAsia" w:asciiTheme="majorEastAsia" w:hAnsiTheme="majorEastAsia" w:eastAsiaTheme="majorEastAsia" w:cstheme="majorEastAsia"/>
          <w:bCs/>
          <w:szCs w:val="21"/>
        </w:rPr>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00500000000000000"/>
    <w:charset w:val="86"/>
    <w:family w:val="modern"/>
    <w:pitch w:val="default"/>
    <w:sig w:usb0="A00002BF" w:usb1="584F6CFA" w:usb2="00000012" w:usb3="00000000" w:csb0="00040001" w:csb1="00000000"/>
  </w:font>
  <w:font w:name="Arial Narrow">
    <w:panose1 w:val="020B0606020202030204"/>
    <w:charset w:val="00"/>
    <w:family w:val="swiss"/>
    <w:pitch w:val="default"/>
    <w:sig w:usb0="00000287" w:usb1="00000800" w:usb2="00000000" w:usb3="00000000" w:csb0="2000009F" w:csb1="DFD7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F50DF">
    <w:pPr>
      <w:pStyle w:val="9"/>
      <w:jc w:val="center"/>
      <w:rPr>
        <w:rFonts w:hint="eastAsia"/>
      </w:rPr>
    </w:pPr>
  </w:p>
  <w:p w14:paraId="620E53CD">
    <w:pPr>
      <w:pStyle w:val="9"/>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iMjA0ZDNiOWY0N2JiNTA3NmEyYzBiMTdlNmEwOTAifQ=="/>
  </w:docVars>
  <w:rsids>
    <w:rsidRoot w:val="000F418F"/>
    <w:rsid w:val="00005729"/>
    <w:rsid w:val="000328CE"/>
    <w:rsid w:val="0004435B"/>
    <w:rsid w:val="000502E1"/>
    <w:rsid w:val="00091701"/>
    <w:rsid w:val="00093E0B"/>
    <w:rsid w:val="00096559"/>
    <w:rsid w:val="000B437C"/>
    <w:rsid w:val="000F1F5F"/>
    <w:rsid w:val="000F418F"/>
    <w:rsid w:val="0010073D"/>
    <w:rsid w:val="00156BCF"/>
    <w:rsid w:val="001657EF"/>
    <w:rsid w:val="00174938"/>
    <w:rsid w:val="0019455A"/>
    <w:rsid w:val="00195806"/>
    <w:rsid w:val="001B4166"/>
    <w:rsid w:val="001B4FAB"/>
    <w:rsid w:val="001C214E"/>
    <w:rsid w:val="001D1990"/>
    <w:rsid w:val="001D250A"/>
    <w:rsid w:val="001F443E"/>
    <w:rsid w:val="001F670C"/>
    <w:rsid w:val="002457EF"/>
    <w:rsid w:val="002617B8"/>
    <w:rsid w:val="00277F9A"/>
    <w:rsid w:val="00292D31"/>
    <w:rsid w:val="00293C65"/>
    <w:rsid w:val="002A104D"/>
    <w:rsid w:val="002A2258"/>
    <w:rsid w:val="002A433D"/>
    <w:rsid w:val="002B784D"/>
    <w:rsid w:val="002E0D11"/>
    <w:rsid w:val="002F7AC2"/>
    <w:rsid w:val="002F7C30"/>
    <w:rsid w:val="003044DC"/>
    <w:rsid w:val="0030627C"/>
    <w:rsid w:val="00322DAE"/>
    <w:rsid w:val="003379B6"/>
    <w:rsid w:val="00385D39"/>
    <w:rsid w:val="003935CA"/>
    <w:rsid w:val="0039703D"/>
    <w:rsid w:val="003A2E1F"/>
    <w:rsid w:val="003A4385"/>
    <w:rsid w:val="003B41C9"/>
    <w:rsid w:val="003C0593"/>
    <w:rsid w:val="003C24C7"/>
    <w:rsid w:val="003C6063"/>
    <w:rsid w:val="003D4D21"/>
    <w:rsid w:val="003E3287"/>
    <w:rsid w:val="003F2E19"/>
    <w:rsid w:val="00401E7E"/>
    <w:rsid w:val="00420829"/>
    <w:rsid w:val="00432D89"/>
    <w:rsid w:val="00432F0F"/>
    <w:rsid w:val="004535B9"/>
    <w:rsid w:val="00453C8F"/>
    <w:rsid w:val="00460A38"/>
    <w:rsid w:val="004828A2"/>
    <w:rsid w:val="00485AA4"/>
    <w:rsid w:val="00490886"/>
    <w:rsid w:val="004B1FB1"/>
    <w:rsid w:val="004B7059"/>
    <w:rsid w:val="004C29E3"/>
    <w:rsid w:val="004C588D"/>
    <w:rsid w:val="004E5AA6"/>
    <w:rsid w:val="004F14E5"/>
    <w:rsid w:val="00514217"/>
    <w:rsid w:val="00555890"/>
    <w:rsid w:val="0056017E"/>
    <w:rsid w:val="005660F7"/>
    <w:rsid w:val="00571496"/>
    <w:rsid w:val="00580984"/>
    <w:rsid w:val="005A01F0"/>
    <w:rsid w:val="005A4CB8"/>
    <w:rsid w:val="005B58F5"/>
    <w:rsid w:val="005C57FC"/>
    <w:rsid w:val="005C7C06"/>
    <w:rsid w:val="005D1BD1"/>
    <w:rsid w:val="005E3954"/>
    <w:rsid w:val="00610AF7"/>
    <w:rsid w:val="00614853"/>
    <w:rsid w:val="00617D0C"/>
    <w:rsid w:val="0065561D"/>
    <w:rsid w:val="00657098"/>
    <w:rsid w:val="00671E37"/>
    <w:rsid w:val="00675F2B"/>
    <w:rsid w:val="006A18B8"/>
    <w:rsid w:val="006D0082"/>
    <w:rsid w:val="006E5BA6"/>
    <w:rsid w:val="00726A41"/>
    <w:rsid w:val="007A40B1"/>
    <w:rsid w:val="007B7A73"/>
    <w:rsid w:val="007E372D"/>
    <w:rsid w:val="007F7412"/>
    <w:rsid w:val="008121BC"/>
    <w:rsid w:val="0084329C"/>
    <w:rsid w:val="0084401E"/>
    <w:rsid w:val="00857B2B"/>
    <w:rsid w:val="00872AAA"/>
    <w:rsid w:val="00874384"/>
    <w:rsid w:val="00874594"/>
    <w:rsid w:val="00885A85"/>
    <w:rsid w:val="0089749F"/>
    <w:rsid w:val="008B0AAB"/>
    <w:rsid w:val="008B1B5B"/>
    <w:rsid w:val="008C7986"/>
    <w:rsid w:val="008F0272"/>
    <w:rsid w:val="00901411"/>
    <w:rsid w:val="00915532"/>
    <w:rsid w:val="009213A8"/>
    <w:rsid w:val="00931ADF"/>
    <w:rsid w:val="00942F8A"/>
    <w:rsid w:val="00982A79"/>
    <w:rsid w:val="0098450A"/>
    <w:rsid w:val="009A5B25"/>
    <w:rsid w:val="009C4733"/>
    <w:rsid w:val="009D7776"/>
    <w:rsid w:val="009F02F6"/>
    <w:rsid w:val="00A25B25"/>
    <w:rsid w:val="00A449CD"/>
    <w:rsid w:val="00A6426C"/>
    <w:rsid w:val="00AA41A5"/>
    <w:rsid w:val="00AB1114"/>
    <w:rsid w:val="00AE4B91"/>
    <w:rsid w:val="00AF7F53"/>
    <w:rsid w:val="00B235FD"/>
    <w:rsid w:val="00B25DEC"/>
    <w:rsid w:val="00B30AB6"/>
    <w:rsid w:val="00B313A0"/>
    <w:rsid w:val="00B6099F"/>
    <w:rsid w:val="00BA72F5"/>
    <w:rsid w:val="00BF5492"/>
    <w:rsid w:val="00C512F2"/>
    <w:rsid w:val="00C61E97"/>
    <w:rsid w:val="00C7622C"/>
    <w:rsid w:val="00C76D78"/>
    <w:rsid w:val="00C90DE1"/>
    <w:rsid w:val="00C9339A"/>
    <w:rsid w:val="00C95F52"/>
    <w:rsid w:val="00CA071B"/>
    <w:rsid w:val="00CE016E"/>
    <w:rsid w:val="00D06341"/>
    <w:rsid w:val="00D11F6B"/>
    <w:rsid w:val="00D15FA0"/>
    <w:rsid w:val="00D26D96"/>
    <w:rsid w:val="00D43DF6"/>
    <w:rsid w:val="00D668D1"/>
    <w:rsid w:val="00D84E0D"/>
    <w:rsid w:val="00D9583B"/>
    <w:rsid w:val="00DA572C"/>
    <w:rsid w:val="00DA7820"/>
    <w:rsid w:val="00DC79F8"/>
    <w:rsid w:val="00DE2E5B"/>
    <w:rsid w:val="00DE67AD"/>
    <w:rsid w:val="00DF189D"/>
    <w:rsid w:val="00DF792C"/>
    <w:rsid w:val="00E1448B"/>
    <w:rsid w:val="00E412D9"/>
    <w:rsid w:val="00E467C8"/>
    <w:rsid w:val="00E52BC6"/>
    <w:rsid w:val="00E805F6"/>
    <w:rsid w:val="00E809E3"/>
    <w:rsid w:val="00E932F5"/>
    <w:rsid w:val="00E938CB"/>
    <w:rsid w:val="00E94691"/>
    <w:rsid w:val="00E94C10"/>
    <w:rsid w:val="00EC62A2"/>
    <w:rsid w:val="00EF7266"/>
    <w:rsid w:val="00F22C64"/>
    <w:rsid w:val="00F2602E"/>
    <w:rsid w:val="00F54131"/>
    <w:rsid w:val="00F623BD"/>
    <w:rsid w:val="00F65538"/>
    <w:rsid w:val="00FD3711"/>
    <w:rsid w:val="00FE7009"/>
    <w:rsid w:val="01062EEC"/>
    <w:rsid w:val="014720AD"/>
    <w:rsid w:val="023B0973"/>
    <w:rsid w:val="027041FE"/>
    <w:rsid w:val="02815AAC"/>
    <w:rsid w:val="02DC4210"/>
    <w:rsid w:val="02ED4D7D"/>
    <w:rsid w:val="036F4D79"/>
    <w:rsid w:val="03F2248A"/>
    <w:rsid w:val="049D62B9"/>
    <w:rsid w:val="05433AC6"/>
    <w:rsid w:val="0547434E"/>
    <w:rsid w:val="054D733B"/>
    <w:rsid w:val="055F443F"/>
    <w:rsid w:val="056725DF"/>
    <w:rsid w:val="060103BB"/>
    <w:rsid w:val="06527FCB"/>
    <w:rsid w:val="076D15CF"/>
    <w:rsid w:val="07A50A9E"/>
    <w:rsid w:val="08290B46"/>
    <w:rsid w:val="09214851"/>
    <w:rsid w:val="0A794981"/>
    <w:rsid w:val="0AD51A66"/>
    <w:rsid w:val="0B4C2F6F"/>
    <w:rsid w:val="0B7768AE"/>
    <w:rsid w:val="0B8C1BB7"/>
    <w:rsid w:val="0C787551"/>
    <w:rsid w:val="0C87136C"/>
    <w:rsid w:val="0C90115D"/>
    <w:rsid w:val="0E2E1CF4"/>
    <w:rsid w:val="0F4514A3"/>
    <w:rsid w:val="100131FC"/>
    <w:rsid w:val="10661F54"/>
    <w:rsid w:val="107016D3"/>
    <w:rsid w:val="120E39AF"/>
    <w:rsid w:val="121872AE"/>
    <w:rsid w:val="1247062C"/>
    <w:rsid w:val="135763B5"/>
    <w:rsid w:val="13610B48"/>
    <w:rsid w:val="13791AEC"/>
    <w:rsid w:val="13A610A1"/>
    <w:rsid w:val="13FC47CA"/>
    <w:rsid w:val="140E4D6F"/>
    <w:rsid w:val="14B43A04"/>
    <w:rsid w:val="15433DDA"/>
    <w:rsid w:val="170E417B"/>
    <w:rsid w:val="17143815"/>
    <w:rsid w:val="17212F18"/>
    <w:rsid w:val="173A2908"/>
    <w:rsid w:val="1779193B"/>
    <w:rsid w:val="192C540B"/>
    <w:rsid w:val="19766899"/>
    <w:rsid w:val="1A082F01"/>
    <w:rsid w:val="1B670CB1"/>
    <w:rsid w:val="1BE071B9"/>
    <w:rsid w:val="1C001062"/>
    <w:rsid w:val="1C413C34"/>
    <w:rsid w:val="1C611D5B"/>
    <w:rsid w:val="1CD15033"/>
    <w:rsid w:val="1D994A74"/>
    <w:rsid w:val="1DE33F41"/>
    <w:rsid w:val="1DF50011"/>
    <w:rsid w:val="1E09655B"/>
    <w:rsid w:val="1EF94484"/>
    <w:rsid w:val="1F281DCF"/>
    <w:rsid w:val="1F3E74C9"/>
    <w:rsid w:val="1F813A12"/>
    <w:rsid w:val="1F8C2708"/>
    <w:rsid w:val="1FB65CE4"/>
    <w:rsid w:val="1FE06D8C"/>
    <w:rsid w:val="20D9760A"/>
    <w:rsid w:val="212A4716"/>
    <w:rsid w:val="2169370E"/>
    <w:rsid w:val="217B74C7"/>
    <w:rsid w:val="217D62AA"/>
    <w:rsid w:val="21A319F2"/>
    <w:rsid w:val="22254E0E"/>
    <w:rsid w:val="22926629"/>
    <w:rsid w:val="230973FA"/>
    <w:rsid w:val="23292F99"/>
    <w:rsid w:val="23664A98"/>
    <w:rsid w:val="236D1903"/>
    <w:rsid w:val="23AD30C4"/>
    <w:rsid w:val="24C76E0F"/>
    <w:rsid w:val="24DA5AA3"/>
    <w:rsid w:val="24E07C4D"/>
    <w:rsid w:val="2509026D"/>
    <w:rsid w:val="255262F0"/>
    <w:rsid w:val="26002766"/>
    <w:rsid w:val="2606045B"/>
    <w:rsid w:val="266A621F"/>
    <w:rsid w:val="26DB095A"/>
    <w:rsid w:val="274921C8"/>
    <w:rsid w:val="2810219D"/>
    <w:rsid w:val="287967F4"/>
    <w:rsid w:val="29215F57"/>
    <w:rsid w:val="29413F1F"/>
    <w:rsid w:val="29671ECA"/>
    <w:rsid w:val="29A46BF1"/>
    <w:rsid w:val="2A074D01"/>
    <w:rsid w:val="2A4662CD"/>
    <w:rsid w:val="2A4F3D40"/>
    <w:rsid w:val="2A543874"/>
    <w:rsid w:val="2AE83430"/>
    <w:rsid w:val="2AEA7070"/>
    <w:rsid w:val="2AFC2965"/>
    <w:rsid w:val="2B227DE3"/>
    <w:rsid w:val="2B702CD2"/>
    <w:rsid w:val="2B7D57F6"/>
    <w:rsid w:val="2BAC267D"/>
    <w:rsid w:val="2C361881"/>
    <w:rsid w:val="2C5D6155"/>
    <w:rsid w:val="2DA53476"/>
    <w:rsid w:val="2DCD7668"/>
    <w:rsid w:val="2DE06617"/>
    <w:rsid w:val="2ED56B81"/>
    <w:rsid w:val="2EDD678B"/>
    <w:rsid w:val="2F0D6860"/>
    <w:rsid w:val="2F9A1204"/>
    <w:rsid w:val="2FB251DF"/>
    <w:rsid w:val="2FB614B6"/>
    <w:rsid w:val="301B37CC"/>
    <w:rsid w:val="303630BF"/>
    <w:rsid w:val="3039284C"/>
    <w:rsid w:val="314836BF"/>
    <w:rsid w:val="31D13B19"/>
    <w:rsid w:val="31EE3A42"/>
    <w:rsid w:val="32CA0198"/>
    <w:rsid w:val="3381542A"/>
    <w:rsid w:val="338769E3"/>
    <w:rsid w:val="33DF0CD4"/>
    <w:rsid w:val="33DF1F97"/>
    <w:rsid w:val="33FE03BD"/>
    <w:rsid w:val="34307AFF"/>
    <w:rsid w:val="343B1964"/>
    <w:rsid w:val="346111F4"/>
    <w:rsid w:val="34735C8B"/>
    <w:rsid w:val="34F32C75"/>
    <w:rsid w:val="35436F4B"/>
    <w:rsid w:val="364409D0"/>
    <w:rsid w:val="368E4F3A"/>
    <w:rsid w:val="36990828"/>
    <w:rsid w:val="369C5A94"/>
    <w:rsid w:val="370721F9"/>
    <w:rsid w:val="379E0A65"/>
    <w:rsid w:val="37BA74D1"/>
    <w:rsid w:val="3889489D"/>
    <w:rsid w:val="38BB7154"/>
    <w:rsid w:val="392468F4"/>
    <w:rsid w:val="39DB0BEF"/>
    <w:rsid w:val="3A55744D"/>
    <w:rsid w:val="3A810009"/>
    <w:rsid w:val="3ABD088E"/>
    <w:rsid w:val="3B3C7E1E"/>
    <w:rsid w:val="3C220E69"/>
    <w:rsid w:val="3C6250A3"/>
    <w:rsid w:val="3CB2620D"/>
    <w:rsid w:val="3CCD33E1"/>
    <w:rsid w:val="3DA178ED"/>
    <w:rsid w:val="3DB90AD0"/>
    <w:rsid w:val="3E1165E8"/>
    <w:rsid w:val="3E6506CD"/>
    <w:rsid w:val="3EA640EC"/>
    <w:rsid w:val="3F097B3C"/>
    <w:rsid w:val="3F1E7D41"/>
    <w:rsid w:val="400364D7"/>
    <w:rsid w:val="404A2319"/>
    <w:rsid w:val="40FA6872"/>
    <w:rsid w:val="40FB141E"/>
    <w:rsid w:val="423B584A"/>
    <w:rsid w:val="42526D83"/>
    <w:rsid w:val="439A04BA"/>
    <w:rsid w:val="43B1620D"/>
    <w:rsid w:val="43C53BAB"/>
    <w:rsid w:val="43E268C5"/>
    <w:rsid w:val="448E6B24"/>
    <w:rsid w:val="44A75AFE"/>
    <w:rsid w:val="457D2F7B"/>
    <w:rsid w:val="45B83378"/>
    <w:rsid w:val="46A338E6"/>
    <w:rsid w:val="46D16525"/>
    <w:rsid w:val="46FE08CE"/>
    <w:rsid w:val="474C24AE"/>
    <w:rsid w:val="48A8612B"/>
    <w:rsid w:val="48C158A0"/>
    <w:rsid w:val="48C36A60"/>
    <w:rsid w:val="48D249F0"/>
    <w:rsid w:val="493D5513"/>
    <w:rsid w:val="49450F4F"/>
    <w:rsid w:val="49BA7D40"/>
    <w:rsid w:val="4AE6130E"/>
    <w:rsid w:val="4AF074FE"/>
    <w:rsid w:val="4AF210A0"/>
    <w:rsid w:val="4B0E1D4E"/>
    <w:rsid w:val="4B247031"/>
    <w:rsid w:val="4B793C8F"/>
    <w:rsid w:val="4BCC118A"/>
    <w:rsid w:val="4C9F013A"/>
    <w:rsid w:val="4CCC358C"/>
    <w:rsid w:val="4D1A2C2C"/>
    <w:rsid w:val="4E422AD7"/>
    <w:rsid w:val="4E5C5E51"/>
    <w:rsid w:val="4F551931"/>
    <w:rsid w:val="4F795774"/>
    <w:rsid w:val="50175392"/>
    <w:rsid w:val="506911B6"/>
    <w:rsid w:val="506C27EE"/>
    <w:rsid w:val="50BE4216"/>
    <w:rsid w:val="50FE23C3"/>
    <w:rsid w:val="511A4B4C"/>
    <w:rsid w:val="512D7CCC"/>
    <w:rsid w:val="51513784"/>
    <w:rsid w:val="51C4692F"/>
    <w:rsid w:val="52856670"/>
    <w:rsid w:val="52A87F79"/>
    <w:rsid w:val="52C34134"/>
    <w:rsid w:val="534536CA"/>
    <w:rsid w:val="53AD3873"/>
    <w:rsid w:val="54245607"/>
    <w:rsid w:val="543640C4"/>
    <w:rsid w:val="544E15FB"/>
    <w:rsid w:val="544E5B1C"/>
    <w:rsid w:val="5470751C"/>
    <w:rsid w:val="54FD78B1"/>
    <w:rsid w:val="554E40D5"/>
    <w:rsid w:val="555D3BAE"/>
    <w:rsid w:val="55627866"/>
    <w:rsid w:val="55953E45"/>
    <w:rsid w:val="567A1AA4"/>
    <w:rsid w:val="56F963F3"/>
    <w:rsid w:val="570F02DD"/>
    <w:rsid w:val="581A249A"/>
    <w:rsid w:val="58366D88"/>
    <w:rsid w:val="583F79EB"/>
    <w:rsid w:val="589C6BEB"/>
    <w:rsid w:val="59A56CFF"/>
    <w:rsid w:val="5A2570B4"/>
    <w:rsid w:val="5A343D36"/>
    <w:rsid w:val="5A507EBB"/>
    <w:rsid w:val="5AC32B55"/>
    <w:rsid w:val="5B987E52"/>
    <w:rsid w:val="5C0B6E64"/>
    <w:rsid w:val="5C775059"/>
    <w:rsid w:val="5C8E0F41"/>
    <w:rsid w:val="5CF43BCB"/>
    <w:rsid w:val="5DE65EF9"/>
    <w:rsid w:val="5DFF5CC4"/>
    <w:rsid w:val="5E610ECF"/>
    <w:rsid w:val="5E655B69"/>
    <w:rsid w:val="5E781F1B"/>
    <w:rsid w:val="5EB07B38"/>
    <w:rsid w:val="5F144582"/>
    <w:rsid w:val="5F1E2487"/>
    <w:rsid w:val="5F2B6F1B"/>
    <w:rsid w:val="5FAF32FF"/>
    <w:rsid w:val="609114FF"/>
    <w:rsid w:val="609E2368"/>
    <w:rsid w:val="616E6749"/>
    <w:rsid w:val="617876F8"/>
    <w:rsid w:val="62741294"/>
    <w:rsid w:val="62EE3D6A"/>
    <w:rsid w:val="62F12229"/>
    <w:rsid w:val="636C55D9"/>
    <w:rsid w:val="6371740F"/>
    <w:rsid w:val="642301C1"/>
    <w:rsid w:val="643529DA"/>
    <w:rsid w:val="643949D6"/>
    <w:rsid w:val="64632E4C"/>
    <w:rsid w:val="65014F24"/>
    <w:rsid w:val="650757F1"/>
    <w:rsid w:val="651C60F9"/>
    <w:rsid w:val="651D5AEB"/>
    <w:rsid w:val="65C47781"/>
    <w:rsid w:val="65C60E87"/>
    <w:rsid w:val="664D09A9"/>
    <w:rsid w:val="666135E5"/>
    <w:rsid w:val="66AD4116"/>
    <w:rsid w:val="66E94E05"/>
    <w:rsid w:val="675B0DE4"/>
    <w:rsid w:val="67AB07FC"/>
    <w:rsid w:val="67DD04F9"/>
    <w:rsid w:val="68737E70"/>
    <w:rsid w:val="68776D2D"/>
    <w:rsid w:val="689E0173"/>
    <w:rsid w:val="68B34E15"/>
    <w:rsid w:val="68F804A9"/>
    <w:rsid w:val="695B7632"/>
    <w:rsid w:val="69D4116D"/>
    <w:rsid w:val="6A191F7B"/>
    <w:rsid w:val="6A7E72D6"/>
    <w:rsid w:val="6AA43F86"/>
    <w:rsid w:val="6AE10DD5"/>
    <w:rsid w:val="6B331DAE"/>
    <w:rsid w:val="6B8754D9"/>
    <w:rsid w:val="6C346D65"/>
    <w:rsid w:val="6C863E9C"/>
    <w:rsid w:val="6C973B07"/>
    <w:rsid w:val="6CC16156"/>
    <w:rsid w:val="6CC74425"/>
    <w:rsid w:val="6D194D0C"/>
    <w:rsid w:val="6D821298"/>
    <w:rsid w:val="6E2617B0"/>
    <w:rsid w:val="6E857DC4"/>
    <w:rsid w:val="6E8D050E"/>
    <w:rsid w:val="6E907F85"/>
    <w:rsid w:val="6EA77E8D"/>
    <w:rsid w:val="6EB206E7"/>
    <w:rsid w:val="6EB37298"/>
    <w:rsid w:val="6EC52972"/>
    <w:rsid w:val="70262366"/>
    <w:rsid w:val="70B86135"/>
    <w:rsid w:val="71403FB8"/>
    <w:rsid w:val="726B0891"/>
    <w:rsid w:val="72DA0196"/>
    <w:rsid w:val="73E159A2"/>
    <w:rsid w:val="73EA6309"/>
    <w:rsid w:val="74861BFC"/>
    <w:rsid w:val="748A56A0"/>
    <w:rsid w:val="750E27C7"/>
    <w:rsid w:val="75126AFC"/>
    <w:rsid w:val="75181898"/>
    <w:rsid w:val="756A4D54"/>
    <w:rsid w:val="75A706BB"/>
    <w:rsid w:val="76827C2F"/>
    <w:rsid w:val="769F15D5"/>
    <w:rsid w:val="76CC600E"/>
    <w:rsid w:val="77112CED"/>
    <w:rsid w:val="77533ED9"/>
    <w:rsid w:val="78A23952"/>
    <w:rsid w:val="78D83818"/>
    <w:rsid w:val="791E3361"/>
    <w:rsid w:val="792D3672"/>
    <w:rsid w:val="79CD1E55"/>
    <w:rsid w:val="7A440A39"/>
    <w:rsid w:val="7A442118"/>
    <w:rsid w:val="7A7C6425"/>
    <w:rsid w:val="7AFA17EA"/>
    <w:rsid w:val="7BD67DE6"/>
    <w:rsid w:val="7BF2699E"/>
    <w:rsid w:val="7C0334C5"/>
    <w:rsid w:val="7C457749"/>
    <w:rsid w:val="7C775E90"/>
    <w:rsid w:val="7C876C5F"/>
    <w:rsid w:val="7CEE1FDA"/>
    <w:rsid w:val="7D795683"/>
    <w:rsid w:val="7DEB4809"/>
    <w:rsid w:val="7E307BCE"/>
    <w:rsid w:val="7E361B47"/>
    <w:rsid w:val="7F0E4BE0"/>
    <w:rsid w:val="7F572F98"/>
    <w:rsid w:val="7FBA0E42"/>
    <w:rsid w:val="7FBF08A3"/>
    <w:rsid w:val="7FC44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等线" w:eastAsia="宋体" w:cs="黑体"/>
      <w:kern w:val="2"/>
      <w:sz w:val="28"/>
      <w:szCs w:val="22"/>
      <w:lang w:val="en-US" w:eastAsia="zh-CN" w:bidi="ar-SA"/>
    </w:rPr>
  </w:style>
  <w:style w:type="paragraph" w:styleId="2">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basedOn w:val="1"/>
    <w:next w:val="1"/>
    <w:unhideWhenUsed/>
    <w:qFormat/>
    <w:uiPriority w:val="9"/>
    <w:pPr>
      <w:keepNext/>
      <w:keepLines/>
      <w:spacing w:line="360" w:lineRule="auto"/>
      <w:jc w:val="left"/>
      <w:outlineLvl w:val="2"/>
    </w:pPr>
    <w:rPr>
      <w:rFonts w:ascii="Times New Roman" w:hAnsi="Times New Roman" w:eastAsia="仿宋"/>
      <w:sz w:val="24"/>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rPr>
      <w:rFonts w:ascii="Times New Roman" w:hAnsi="Times New Roman"/>
      <w:szCs w:val="20"/>
    </w:rPr>
  </w:style>
  <w:style w:type="paragraph" w:styleId="6">
    <w:name w:val="Body Text"/>
    <w:basedOn w:val="1"/>
    <w:autoRedefine/>
    <w:qFormat/>
    <w:uiPriority w:val="99"/>
    <w:rPr>
      <w:rFonts w:eastAsia="仿宋_GB2312"/>
    </w:rPr>
  </w:style>
  <w:style w:type="paragraph" w:styleId="7">
    <w:name w:val="Body Text Indent"/>
    <w:basedOn w:val="1"/>
    <w:next w:val="1"/>
    <w:unhideWhenUsed/>
    <w:qFormat/>
    <w:uiPriority w:val="99"/>
    <w:pPr>
      <w:spacing w:line="360" w:lineRule="auto"/>
      <w:ind w:firstLine="560" w:firstLineChars="200"/>
    </w:pPr>
    <w:rPr>
      <w:rFonts w:hAnsi="宋体"/>
      <w:szCs w:val="24"/>
    </w:rPr>
  </w:style>
  <w:style w:type="paragraph" w:styleId="8">
    <w:name w:val="Plain Text"/>
    <w:basedOn w:val="1"/>
    <w:link w:val="16"/>
    <w:autoRedefine/>
    <w:semiHidden/>
    <w:qFormat/>
    <w:uiPriority w:val="0"/>
    <w:pPr>
      <w:spacing w:line="360" w:lineRule="auto"/>
      <w:ind w:firstLine="560" w:firstLineChars="200"/>
    </w:pPr>
    <w:rPr>
      <w:rFonts w:hAnsi="宋体" w:cs="宋体"/>
      <w:b/>
      <w:szCs w:val="28"/>
    </w:rPr>
  </w:style>
  <w:style w:type="paragraph" w:styleId="9">
    <w:name w:val="footer"/>
    <w:basedOn w:val="1"/>
    <w:link w:val="15"/>
    <w:autoRedefine/>
    <w:unhideWhenUsed/>
    <w:qFormat/>
    <w:uiPriority w:val="99"/>
    <w:pPr>
      <w:tabs>
        <w:tab w:val="center" w:pos="4153"/>
        <w:tab w:val="right" w:pos="8306"/>
      </w:tabs>
      <w:snapToGrid w:val="0"/>
      <w:jc w:val="left"/>
    </w:pPr>
    <w:rPr>
      <w:sz w:val="18"/>
      <w:szCs w:val="18"/>
    </w:rPr>
  </w:style>
  <w:style w:type="paragraph" w:styleId="10">
    <w:name w:val="header"/>
    <w:basedOn w:val="1"/>
    <w:next w:val="7"/>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12">
    <w:name w:val="Table Grid"/>
    <w:basedOn w:val="11"/>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customStyle="1" w:styleId="15">
    <w:name w:val="页脚 字符"/>
    <w:basedOn w:val="13"/>
    <w:link w:val="9"/>
    <w:autoRedefine/>
    <w:qFormat/>
    <w:uiPriority w:val="99"/>
    <w:rPr>
      <w:rFonts w:ascii="宋体" w:hAnsi="等线" w:eastAsia="宋体" w:cs="黑体"/>
      <w:sz w:val="18"/>
      <w:szCs w:val="18"/>
    </w:rPr>
  </w:style>
  <w:style w:type="character" w:customStyle="1" w:styleId="16">
    <w:name w:val="纯文本 字符"/>
    <w:basedOn w:val="13"/>
    <w:link w:val="8"/>
    <w:autoRedefine/>
    <w:semiHidden/>
    <w:qFormat/>
    <w:uiPriority w:val="0"/>
    <w:rPr>
      <w:rFonts w:ascii="宋体" w:hAnsi="宋体" w:cs="宋体"/>
      <w:b/>
      <w:kern w:val="2"/>
      <w:sz w:val="28"/>
      <w:szCs w:val="28"/>
    </w:rPr>
  </w:style>
  <w:style w:type="character" w:customStyle="1" w:styleId="17">
    <w:name w:val="页眉 字符"/>
    <w:basedOn w:val="13"/>
    <w:link w:val="10"/>
    <w:autoRedefine/>
    <w:qFormat/>
    <w:uiPriority w:val="99"/>
    <w:rPr>
      <w:rFonts w:ascii="宋体" w:hAnsi="等线" w:eastAsia="宋体" w:cs="黑体"/>
      <w:sz w:val="18"/>
      <w:szCs w:val="18"/>
    </w:rPr>
  </w:style>
  <w:style w:type="paragraph" w:styleId="18">
    <w:name w:val="List Paragraph"/>
    <w:basedOn w:val="1"/>
    <w:autoRedefine/>
    <w:qFormat/>
    <w:uiPriority w:val="34"/>
    <w:pPr>
      <w:ind w:firstLine="420" w:firstLineChars="200"/>
    </w:pPr>
  </w:style>
  <w:style w:type="paragraph" w:customStyle="1" w:styleId="19">
    <w:name w:val="正式文本"/>
    <w:basedOn w:val="1"/>
    <w:qFormat/>
    <w:uiPriority w:val="0"/>
    <w:pPr>
      <w:spacing w:line="540" w:lineRule="exact"/>
    </w:pPr>
    <w:rPr>
      <w:rFonts w:hAnsi="Arial Narrow"/>
    </w:rPr>
  </w:style>
  <w:style w:type="paragraph" w:customStyle="1" w:styleId="20">
    <w:name w:val="Table Text"/>
    <w:basedOn w:val="1"/>
    <w:semiHidden/>
    <w:qFormat/>
    <w:uiPriority w:val="0"/>
    <w:rPr>
      <w:rFonts w:ascii="微软雅黑" w:hAnsi="微软雅黑" w:eastAsia="微软雅黑" w:cs="微软雅黑"/>
      <w:sz w:val="16"/>
      <w:szCs w:val="16"/>
      <w:lang w:eastAsia="en-US"/>
    </w:r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8</Pages>
  <Words>3714</Words>
  <Characters>3735</Characters>
  <Lines>42</Lines>
  <Paragraphs>33</Paragraphs>
  <TotalTime>25</TotalTime>
  <ScaleCrop>false</ScaleCrop>
  <LinksUpToDate>false</LinksUpToDate>
  <CharactersWithSpaces>3746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2022-05-11T01:45:00Z</dcterms:created>
  <dc:creator>李旭</dc:creator>
  <cp:lastModifiedBy> ning</cp:lastModifiedBy>
  <cp:lastPrinted>2025-06-09T02:23:00Z</cp:lastPrinted>
  <dcterms:modified xsi:type="dcterms:W3CDTF">2025-11-04T07:35:27Z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5598011C7AAE45E68EBF42391BDB37D4_13</vt:lpwstr>
  </property>
  <property fmtid="{D5CDD505-2E9C-101B-9397-08002B2CF9AE}" pid="4" name="KSOTemplateDocerSaveRecord">
    <vt:lpwstr>eyJoZGlkIjoiMTY2ZjE5ZjhmMWNhYjIzZGMwNzI0ZGM5ZTc4ZTUzZGQiLCJ1c2VySWQiOiIzODM0NTA2NDIifQ==</vt:lpwstr>
  </property>
</Properties>
</file>