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3735">
      <w:pPr>
        <w:ind w:firstLine="720"/>
        <w:rPr>
          <w:rFonts w:hint="eastAsia" w:ascii="黑体" w:hAnsi="黑体" w:eastAsia="黑体"/>
          <w:bCs w:val="0"/>
          <w:sz w:val="36"/>
          <w:szCs w:val="36"/>
        </w:rPr>
      </w:pPr>
      <w:r>
        <w:rPr>
          <w:rFonts w:hint="eastAsia" w:ascii="黑体" w:hAnsi="黑体" w:eastAsia="黑体"/>
          <w:bCs w:val="0"/>
          <w:sz w:val="36"/>
          <w:szCs w:val="36"/>
        </w:rPr>
        <w:t>审议</w:t>
      </w:r>
      <w:r>
        <w:rPr>
          <w:rFonts w:hint="eastAsia" w:ascii="黑体" w:hAnsi="黑体" w:eastAsia="黑体" w:cs="黑体"/>
          <w:sz w:val="36"/>
          <w:szCs w:val="36"/>
        </w:rPr>
        <w:t>大海则煤矿2026年财务预算</w:t>
      </w:r>
      <w:r>
        <w:rPr>
          <w:rFonts w:hint="eastAsia" w:ascii="黑体" w:hAnsi="黑体" w:eastAsia="黑体"/>
          <w:bCs w:val="0"/>
          <w:sz w:val="36"/>
          <w:szCs w:val="36"/>
        </w:rPr>
        <w:t>及专项资金计划和资产处置预算</w:t>
      </w:r>
      <w:r>
        <w:rPr>
          <w:rFonts w:hint="eastAsia" w:ascii="黑体" w:hAnsi="黑体" w:eastAsia="黑体" w:cs="黑体"/>
          <w:sz w:val="36"/>
          <w:szCs w:val="36"/>
        </w:rPr>
        <w:t>方案</w:t>
      </w:r>
      <w:r>
        <w:rPr>
          <w:rFonts w:hint="eastAsia" w:ascii="黑体" w:hAnsi="黑体" w:eastAsia="黑体"/>
          <w:bCs w:val="0"/>
          <w:sz w:val="36"/>
          <w:szCs w:val="36"/>
        </w:rPr>
        <w:t>的议案</w:t>
      </w:r>
    </w:p>
    <w:p w14:paraId="2F056061">
      <w:pPr>
        <w:pStyle w:val="14"/>
        <w:widowControl/>
        <w:spacing w:before="0" w:beforeAutospacing="0" w:after="0" w:afterAutospacing="0"/>
        <w:ind w:firstLine="0" w:firstLineChars="0"/>
        <w:textAlignment w:val="center"/>
        <w:rPr>
          <w:rFonts w:hint="eastAsia" w:cs="仿宋"/>
          <w:bCs/>
          <w:color w:val="000000"/>
          <w:sz w:val="32"/>
        </w:rPr>
      </w:pPr>
    </w:p>
    <w:p w14:paraId="314A7572">
      <w:pPr>
        <w:pStyle w:val="14"/>
        <w:widowControl/>
        <w:spacing w:before="0" w:beforeAutospacing="0" w:after="0" w:afterAutospacing="0"/>
        <w:ind w:firstLine="0" w:firstLineChars="0"/>
        <w:textAlignment w:val="center"/>
        <w:rPr>
          <w:rFonts w:hint="eastAsia" w:cs="仿宋"/>
          <w:bCs/>
          <w:color w:val="000000"/>
          <w:sz w:val="32"/>
        </w:rPr>
      </w:pPr>
      <w:r>
        <w:rPr>
          <w:rFonts w:hint="eastAsia" w:cs="仿宋"/>
          <w:bCs/>
          <w:color w:val="000000"/>
          <w:sz w:val="32"/>
        </w:rPr>
        <w:t>各位股东：</w:t>
      </w:r>
    </w:p>
    <w:p w14:paraId="1088550F">
      <w:pPr>
        <w:pStyle w:val="14"/>
        <w:widowControl/>
        <w:spacing w:before="0" w:beforeAutospacing="0" w:after="0" w:afterAutospacing="0"/>
        <w:ind w:firstLine="640" w:firstLineChars="200"/>
        <w:jc w:val="both"/>
        <w:textAlignment w:val="center"/>
        <w:rPr>
          <w:rFonts w:hint="eastAsia" w:cs="仿宋"/>
          <w:bCs/>
          <w:color w:val="000000"/>
          <w:sz w:val="32"/>
          <w:lang w:bidi="ar"/>
        </w:rPr>
      </w:pPr>
      <w:r>
        <w:rPr>
          <w:rFonts w:hint="eastAsia" w:cs="仿宋"/>
          <w:bCs/>
          <w:color w:val="000000"/>
          <w:sz w:val="32"/>
          <w:lang w:bidi="ar"/>
        </w:rPr>
        <w:t>大海则煤矿</w:t>
      </w:r>
      <w:r>
        <w:rPr>
          <w:rFonts w:cs="仿宋"/>
          <w:bCs/>
          <w:color w:val="000000"/>
          <w:sz w:val="32"/>
          <w:lang w:bidi="ar"/>
        </w:rPr>
        <w:t>2026年财务预算及专项资金计划</w:t>
      </w:r>
      <w:r>
        <w:rPr>
          <w:rFonts w:hint="eastAsia" w:cs="仿宋"/>
          <w:bCs/>
          <w:color w:val="000000"/>
          <w:sz w:val="32"/>
          <w:lang w:bidi="ar"/>
        </w:rPr>
        <w:t>和资产处置预算</w:t>
      </w:r>
      <w:r>
        <w:rPr>
          <w:rFonts w:cs="仿宋"/>
          <w:bCs/>
          <w:color w:val="000000"/>
          <w:sz w:val="32"/>
          <w:lang w:bidi="ar"/>
        </w:rPr>
        <w:t>方案已经集团公司第二届董事会第二十八次会议审议通过，并经第二届董事会第三十次会议审议通过</w:t>
      </w:r>
      <w:r>
        <w:rPr>
          <w:rFonts w:hint="eastAsia" w:cs="仿宋"/>
          <w:bCs/>
          <w:color w:val="000000"/>
          <w:sz w:val="32"/>
          <w:lang w:bidi="ar"/>
        </w:rPr>
        <w:t>大海则煤矿</w:t>
      </w:r>
      <w:r>
        <w:rPr>
          <w:rFonts w:cs="仿宋"/>
          <w:bCs/>
          <w:color w:val="000000"/>
          <w:sz w:val="32"/>
          <w:lang w:bidi="ar"/>
        </w:rPr>
        <w:t>2026年专项资金计划调整方案，</w:t>
      </w:r>
      <w:r>
        <w:rPr>
          <w:rFonts w:hint="eastAsia" w:cs="仿宋"/>
          <w:bCs/>
          <w:color w:val="000000"/>
          <w:sz w:val="32"/>
          <w:lang w:val="en-US" w:eastAsia="zh-CN" w:bidi="ar"/>
        </w:rPr>
        <w:t>现汇报如下</w:t>
      </w:r>
      <w:r>
        <w:rPr>
          <w:rFonts w:cs="仿宋"/>
          <w:bCs/>
          <w:color w:val="000000"/>
          <w:sz w:val="32"/>
          <w:lang w:bidi="ar"/>
        </w:rPr>
        <w:t>，请予审议。</w:t>
      </w:r>
    </w:p>
    <w:p w14:paraId="5933CE3B">
      <w:pPr>
        <w:numPr>
          <w:ilvl w:val="0"/>
          <w:numId w:val="1"/>
        </w:numPr>
        <w:tabs>
          <w:tab w:val="clear" w:pos="1134"/>
        </w:tabs>
        <w:ind w:firstLine="643"/>
        <w:rPr>
          <w:rFonts w:hint="eastAsia"/>
          <w:b/>
          <w:bCs w:val="0"/>
          <w:color w:val="000000"/>
          <w:kern w:val="0"/>
          <w:lang w:bidi="ar"/>
        </w:rPr>
      </w:pPr>
      <w:r>
        <w:rPr>
          <w:rFonts w:hint="eastAsia"/>
          <w:b/>
          <w:bCs w:val="0"/>
          <w:color w:val="000000"/>
          <w:kern w:val="0"/>
          <w:lang w:bidi="ar"/>
        </w:rPr>
        <w:t>2026年度财务预算</w:t>
      </w:r>
    </w:p>
    <w:p w14:paraId="337B8699">
      <w:pPr>
        <w:pStyle w:val="31"/>
        <w:numPr>
          <w:ilvl w:val="0"/>
          <w:numId w:val="2"/>
        </w:numPr>
        <w:spacing w:after="0" w:line="560" w:lineRule="exact"/>
        <w:ind w:left="0" w:firstLine="640" w:firstLineChars="200"/>
        <w:contextualSpacing w:val="0"/>
        <w:jc w:val="both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  <w14:ligatures w14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  <w14:ligatures w14:val="none"/>
        </w:rPr>
        <w:t>生产接续计划</w:t>
      </w:r>
    </w:p>
    <w:p w14:paraId="24E77B44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2026年大海则煤矿计划生产原煤100万吨，全矿掘进进尺5630米。</w:t>
      </w:r>
    </w:p>
    <w:p w14:paraId="5F70B7D1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2025年大海则煤矿实际生产原煤121.33万吨，掘进进尺8820米，综采工作面搬家一撤一安。</w:t>
      </w:r>
    </w:p>
    <w:p w14:paraId="0248BE26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二、煤炭销售计划：</w:t>
      </w:r>
    </w:p>
    <w:p w14:paraId="3BB35687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2026年，计划销售煤炭100万吨。</w:t>
      </w:r>
    </w:p>
    <w:p w14:paraId="6A0B3EA7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2025年，实际销售煤炭121.27万吨。</w:t>
      </w:r>
    </w:p>
    <w:p w14:paraId="4C6F73B2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三、自产煤收入、成本、利润计划：</w:t>
      </w:r>
    </w:p>
    <w:p w14:paraId="6AB64423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2026年计划营业收入3.91亿元，比2025年完成营业收入5.06亿元减少1.15亿元。主要是2026年计划销量减少21.27万吨。</w:t>
      </w:r>
    </w:p>
    <w:p w14:paraId="6D60CFB3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2026年计划总成本4.86亿元，比2025年实际总成本5.74亿元减少8750.32万元。2026年计划单位成本486.2元/吨，比2025年实际单位成本472.85元/吨增加13.35元/吨。</w:t>
      </w:r>
    </w:p>
    <w:p w14:paraId="360CEFD4">
      <w:pPr>
        <w:jc w:val="both"/>
        <w:rPr>
          <w:rFonts w:hint="eastAsia"/>
          <w:color w:val="000000"/>
          <w:kern w:val="0"/>
          <w:lang w:bidi="ar"/>
        </w:rPr>
      </w:pPr>
      <w:r>
        <w:rPr>
          <w:rFonts w:hint="eastAsia"/>
          <w:color w:val="000000"/>
          <w:kern w:val="0"/>
          <w:lang w:bidi="ar"/>
        </w:rPr>
        <w:t>2026年计划亏损9544.75万元，比2025年亏损6586.92万元增加2957.83万元。</w:t>
      </w:r>
    </w:p>
    <w:p w14:paraId="29595DC7">
      <w:pPr>
        <w:ind w:firstLine="643"/>
        <w:rPr>
          <w:rFonts w:hint="eastAsia"/>
          <w:b/>
          <w:bCs w:val="0"/>
          <w:color w:val="000000"/>
          <w:kern w:val="0"/>
          <w:lang w:bidi="ar"/>
        </w:rPr>
      </w:pPr>
      <w:r>
        <w:rPr>
          <w:rFonts w:hint="eastAsia"/>
          <w:b/>
          <w:bCs w:val="0"/>
          <w:color w:val="000000"/>
          <w:kern w:val="0"/>
          <w:lang w:bidi="ar"/>
        </w:rPr>
        <w:t>第二部分  2026年度资产处置预算</w:t>
      </w:r>
    </w:p>
    <w:p w14:paraId="646F52E3">
      <w:pPr>
        <w:jc w:val="both"/>
        <w:rPr>
          <w:rFonts w:hint="eastAsia"/>
          <w:color w:val="000000"/>
          <w:kern w:val="0"/>
          <w:lang w:bidi="ar"/>
        </w:rPr>
      </w:pPr>
      <w:r>
        <w:rPr>
          <w:color w:val="000000"/>
          <w:kern w:val="0"/>
          <w:lang w:bidi="ar"/>
        </w:rPr>
        <w:t>大海则煤矿根据集团公司2025年105号《关于编制2026年财务预算及专项资金计划的通知》基准日期为2025年10月31日；经盘点后，不良资产原值合计14333.78万元，净值合计1234.61万元，已计提固定资产减值准备180.50万元；已计提存货跌价准备203.62万元。（其中：待报废存货157.70万元，闲置存货53.17万元；待报废固定资产原值10927.08万元，净值806.22万元，闲置固定资产原值1595.16万元，净值 105.94万元，盘亏固定资产原值1600.66万元，净值111.58万元。)</w:t>
      </w:r>
    </w:p>
    <w:p w14:paraId="1DCBC621">
      <w:pPr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第三部分  2026年度专项资金计划</w:t>
      </w:r>
    </w:p>
    <w:p w14:paraId="1FA7E89A">
      <w:pPr>
        <w:jc w:val="both"/>
        <w:rPr>
          <w:rFonts w:hint="eastAsia"/>
        </w:rPr>
      </w:pPr>
      <w:r>
        <w:rPr>
          <w:rFonts w:hint="eastAsia"/>
        </w:rPr>
        <w:t>大海则煤矿2026年专项资金计划29318万元，其中煤炭建设工程11614万元、地面建设工程425万元、单纯物资采购717万元、设备大修项修145万元、其它16417万元。主要项目有二水平5-2煤五盘区建设项目11277万元、征地补偿及搬迁费用15329万元。</w:t>
      </w:r>
    </w:p>
    <w:p w14:paraId="079325D4">
      <w:pPr>
        <w:ind w:firstLine="0" w:firstLineChars="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第四部分  2026年度人工成本预算</w:t>
      </w:r>
    </w:p>
    <w:p w14:paraId="331EED3D">
      <w:pPr>
        <w:jc w:val="both"/>
        <w:rPr>
          <w:rFonts w:hint="eastAsia"/>
          <w:bCs w:val="0"/>
        </w:rPr>
      </w:pPr>
      <w:r>
        <w:rPr>
          <w:rFonts w:hint="eastAsia"/>
        </w:rPr>
        <w:t>本年预算包含从业人数为611人，其中：在册正式工526人（其中：年薪人员10人，员工516人），短期合同工及劳务派遣工85人。</w:t>
      </w:r>
    </w:p>
    <w:p w14:paraId="448011FB">
      <w:pPr>
        <w:jc w:val="both"/>
        <w:rPr>
          <w:rFonts w:hint="eastAsia"/>
          <w:bCs w:val="0"/>
        </w:rPr>
      </w:pPr>
      <w:r>
        <w:rPr>
          <w:rFonts w:hint="eastAsia"/>
        </w:rPr>
        <w:t>2026年人工成本预算总额为1.73亿元，较2025年人工成本预算总额1.66亿元增加680.24万元。剔除年终奖金（安全无事故奖）的影响，净增501.08万元。</w:t>
      </w:r>
    </w:p>
    <w:p w14:paraId="003E9557">
      <w:pPr>
        <w:jc w:val="both"/>
        <w:rPr>
          <w:rFonts w:hint="eastAsia"/>
          <w:bCs w:val="0"/>
        </w:rPr>
      </w:pPr>
      <w:r>
        <w:rPr>
          <w:rFonts w:hint="eastAsia"/>
        </w:rPr>
        <w:t>具体从以下两大部分说明：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  一、正式工人工成本</w:t>
      </w:r>
    </w:p>
    <w:p w14:paraId="7BF3E532">
      <w:pPr>
        <w:jc w:val="both"/>
        <w:rPr>
          <w:rFonts w:hint="eastAsia"/>
          <w:bCs w:val="0"/>
        </w:rPr>
      </w:pPr>
      <w:r>
        <w:rPr>
          <w:rFonts w:hint="eastAsia"/>
        </w:rPr>
        <w:t>2026年正式工人工成本预算总额为1.59亿元，较2025预算总额1.56亿元增加297.89万元。</w:t>
      </w:r>
    </w:p>
    <w:p w14:paraId="56ACB104">
      <w:pPr>
        <w:jc w:val="both"/>
        <w:rPr>
          <w:rFonts w:hint="eastAsia"/>
          <w:bCs w:val="0"/>
        </w:rPr>
      </w:pPr>
      <w:r>
        <w:rPr>
          <w:rFonts w:hint="eastAsia"/>
        </w:rPr>
        <w:t>（一）薪酬总额为8461.21万元，较2025年薪酬总额预算8091.75万元增369.46万元。其中：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  1、工资：总额为7331.72万元，其中年薪总额318.89万元，一般员工工资总额7012.83万元；较2025年预算7174.51万元增加157.21万元，主要原因为工资标准调整（企业价值系数调整，工资标准相应调增3%）。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2、奖金及其他：总额为716.32万元，其中：月度安全奖179.16万元、安全无事故奖179.16万元、安全责任状奖励95万元、风险抵押金（含区队、班组）263万元；较2025年预算509.36万元增加206.96万元，主要原因为新增安全无事故奖179.16万元（上年预算中没有单独反映，在集团奖金包里包含）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3、津贴、补贴：总额为413.17万元，其中入井津贴及夜班津贴346.37万元、职称津贴（含注安津贴）24.24万元、交通补贴41万元；较2025年预算407.88万元净增5.29万元（主要原因为增加注安工程师2人2.4万元，夜班津贴增加6.59万元）。</w:t>
      </w:r>
    </w:p>
    <w:p w14:paraId="3A0FC670">
      <w:pPr>
        <w:ind w:firstLine="425" w:firstLineChars="133"/>
        <w:jc w:val="both"/>
        <w:rPr>
          <w:rFonts w:hint="eastAsia"/>
          <w:bCs w:val="0"/>
        </w:rPr>
      </w:pPr>
      <w:r>
        <w:rPr>
          <w:rFonts w:hint="eastAsia"/>
        </w:rPr>
        <w:t>（二）三项经费总额为1490.12万元，其中：福利费1109.37万元，工会经费169.22万元，职工教育经费211.53万元；较2025年预算1453.1万元自然增加37.02万元（工资总额增加）。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（三）社保及附加总额为5987.57万元，其中：住房公积金1414.57万元，企业年金972.72万元，补充医疗保险金561.6万元，残保金108.4万元；社会保险总额为2930.28万元，其中：基本养老金1880.7万元、医疗保险金810.73万元、生育保险金4.78万元、失业保险金59.62万元、工伤保险金174.45万元；较2025年预算6096.16万元减少108.59万元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二、短期合同工及劳务派遣工人工成本</w:t>
      </w:r>
    </w:p>
    <w:p w14:paraId="0A3C8451">
      <w:pPr>
        <w:ind w:firstLine="707" w:firstLineChars="221"/>
        <w:jc w:val="both"/>
        <w:rPr>
          <w:rFonts w:hint="eastAsia"/>
          <w:bCs w:val="0"/>
        </w:rPr>
      </w:pPr>
      <w:r>
        <w:rPr>
          <w:rFonts w:hint="eastAsia"/>
        </w:rPr>
        <w:t>2026年劳务工人工成本预算总额为1358.47万元，较2025年预算976.12万元增加382.35万元,主要原因为：1、2026年劳务工预算按市场化薪酬水平编制；2、人数增加（16人）；其中：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 （一）基本劳务费：914.27万元。</w:t>
      </w:r>
    </w:p>
    <w:p w14:paraId="4EACD1CB">
      <w:pPr>
        <w:numPr>
          <w:ilvl w:val="0"/>
          <w:numId w:val="3"/>
        </w:numPr>
        <w:tabs>
          <w:tab w:val="clear" w:pos="1134"/>
        </w:tabs>
        <w:ind w:firstLine="425" w:firstLineChars="133"/>
        <w:jc w:val="both"/>
        <w:rPr>
          <w:rFonts w:hint="eastAsia"/>
          <w:bCs w:val="0"/>
        </w:rPr>
      </w:pPr>
      <w:r>
        <w:rPr>
          <w:rFonts w:hint="eastAsia"/>
        </w:rPr>
        <w:t>津贴：167.5万元，其中入井和夜班津贴71.11万元，误餐补贴96.39万元。</w:t>
      </w:r>
    </w:p>
    <w:p w14:paraId="56F945B1">
      <w:pPr>
        <w:numPr>
          <w:ilvl w:val="0"/>
          <w:numId w:val="3"/>
        </w:numPr>
        <w:tabs>
          <w:tab w:val="clear" w:pos="1134"/>
        </w:tabs>
        <w:ind w:firstLine="425" w:firstLineChars="133"/>
        <w:jc w:val="both"/>
        <w:rPr>
          <w:rFonts w:hint="eastAsia"/>
          <w:bCs w:val="0"/>
        </w:rPr>
      </w:pPr>
      <w:r>
        <w:rPr>
          <w:rFonts w:hint="eastAsia"/>
        </w:rPr>
        <w:t>统筹及服务费：276.7万元，其中服务费1.93万元，社保及附加274.77万元。</w:t>
      </w:r>
    </w:p>
    <w:p w14:paraId="33F37530">
      <w:pPr>
        <w:ind w:firstLine="645" w:firstLineChars="0"/>
        <w:jc w:val="both"/>
        <w:rPr>
          <w:rFonts w:hint="eastAsia"/>
          <w:bCs w:val="0"/>
        </w:rPr>
      </w:pPr>
      <w:r>
        <w:rPr>
          <w:rFonts w:hint="eastAsia"/>
          <w:bCs w:val="0"/>
        </w:rPr>
        <w:t>附：1、大海则煤矿2026年财务预算汇总表</w:t>
      </w:r>
    </w:p>
    <w:p w14:paraId="1DE37CC5">
      <w:pPr>
        <w:ind w:firstLine="645" w:firstLineChars="0"/>
        <w:jc w:val="both"/>
        <w:rPr>
          <w:rFonts w:hint="eastAsia"/>
          <w:bCs w:val="0"/>
        </w:rPr>
      </w:pPr>
      <w:r>
        <w:rPr>
          <w:rFonts w:hint="eastAsia"/>
          <w:bCs w:val="0"/>
        </w:rPr>
        <w:t xml:space="preserve">    2、大海则煤矿2026年资产处置预算汇总及明细表</w:t>
      </w:r>
    </w:p>
    <w:p w14:paraId="2D177C41">
      <w:pPr>
        <w:ind w:firstLine="1283" w:firstLineChars="401"/>
        <w:jc w:val="both"/>
        <w:rPr>
          <w:rFonts w:hint="eastAsia"/>
          <w:bCs w:val="0"/>
        </w:rPr>
      </w:pPr>
      <w:r>
        <w:rPr>
          <w:rFonts w:hint="eastAsia"/>
          <w:bCs w:val="0"/>
        </w:rPr>
        <w:t>3、大海则煤矿2026年专项资金计划汇总表</w:t>
      </w:r>
    </w:p>
    <w:p w14:paraId="0CDC4049">
      <w:pPr>
        <w:ind w:left="0" w:leftChars="0" w:firstLine="0" w:firstLineChars="0"/>
        <w:jc w:val="left"/>
        <w:rPr>
          <w:rFonts w:hint="eastAsia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2118419"/>
    </w:sdtPr>
    <w:sdtContent>
      <w:p w14:paraId="769293CD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3D1256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6B69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04C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CF1F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C5856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641C">
    <w:pPr>
      <w:pStyle w:val="12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6758E"/>
    <w:multiLevelType w:val="singleLevel"/>
    <w:tmpl w:val="8ED6758E"/>
    <w:lvl w:ilvl="0" w:tentative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944A3188"/>
    <w:multiLevelType w:val="singleLevel"/>
    <w:tmpl w:val="944A31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8B37CE"/>
    <w:multiLevelType w:val="singleLevel"/>
    <w:tmpl w:val="EE8B37C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81"/>
    <w:rsid w:val="00021B5B"/>
    <w:rsid w:val="00023FBD"/>
    <w:rsid w:val="000641B3"/>
    <w:rsid w:val="00080CE8"/>
    <w:rsid w:val="000E5C92"/>
    <w:rsid w:val="0018536A"/>
    <w:rsid w:val="001D4F48"/>
    <w:rsid w:val="001E4EA7"/>
    <w:rsid w:val="002473AF"/>
    <w:rsid w:val="00283E43"/>
    <w:rsid w:val="002A1150"/>
    <w:rsid w:val="003B1F92"/>
    <w:rsid w:val="003D0265"/>
    <w:rsid w:val="003E63C3"/>
    <w:rsid w:val="004135B7"/>
    <w:rsid w:val="00431A3E"/>
    <w:rsid w:val="004858B4"/>
    <w:rsid w:val="004B4DF1"/>
    <w:rsid w:val="004F3F38"/>
    <w:rsid w:val="005034A0"/>
    <w:rsid w:val="0052518D"/>
    <w:rsid w:val="00594574"/>
    <w:rsid w:val="00610E72"/>
    <w:rsid w:val="006154EB"/>
    <w:rsid w:val="00681B62"/>
    <w:rsid w:val="00686FF0"/>
    <w:rsid w:val="006A6C2B"/>
    <w:rsid w:val="006A7146"/>
    <w:rsid w:val="007D42E0"/>
    <w:rsid w:val="007E50FD"/>
    <w:rsid w:val="00830DCC"/>
    <w:rsid w:val="00851A5C"/>
    <w:rsid w:val="00890224"/>
    <w:rsid w:val="00896DAC"/>
    <w:rsid w:val="008B625C"/>
    <w:rsid w:val="008E5816"/>
    <w:rsid w:val="00901E16"/>
    <w:rsid w:val="009D0787"/>
    <w:rsid w:val="00A76800"/>
    <w:rsid w:val="00AA06C7"/>
    <w:rsid w:val="00AC30AC"/>
    <w:rsid w:val="00B3024E"/>
    <w:rsid w:val="00B97501"/>
    <w:rsid w:val="00BA4BCA"/>
    <w:rsid w:val="00C174F1"/>
    <w:rsid w:val="00C23808"/>
    <w:rsid w:val="00C56D51"/>
    <w:rsid w:val="00C679FC"/>
    <w:rsid w:val="00D350FD"/>
    <w:rsid w:val="00D81FE2"/>
    <w:rsid w:val="00D97508"/>
    <w:rsid w:val="00DB1073"/>
    <w:rsid w:val="00DD6ABE"/>
    <w:rsid w:val="00E45913"/>
    <w:rsid w:val="00E67396"/>
    <w:rsid w:val="00E90329"/>
    <w:rsid w:val="00ED7781"/>
    <w:rsid w:val="00EE5BC0"/>
    <w:rsid w:val="00F43040"/>
    <w:rsid w:val="00F53691"/>
    <w:rsid w:val="00FB5CC3"/>
    <w:rsid w:val="00FD5922"/>
    <w:rsid w:val="00FF0ECA"/>
    <w:rsid w:val="00FF74FD"/>
    <w:rsid w:val="15CC7E09"/>
    <w:rsid w:val="16DE6045"/>
    <w:rsid w:val="17DA291E"/>
    <w:rsid w:val="1B754A9E"/>
    <w:rsid w:val="303A20E7"/>
    <w:rsid w:val="37D50947"/>
    <w:rsid w:val="47440C9C"/>
    <w:rsid w:val="4DBC424F"/>
    <w:rsid w:val="533407C0"/>
    <w:rsid w:val="5BB220BB"/>
    <w:rsid w:val="65B31A18"/>
    <w:rsid w:val="68236CF9"/>
    <w:rsid w:val="6FD42CB7"/>
    <w:rsid w:val="7C9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1134"/>
      </w:tabs>
      <w:spacing w:line="560" w:lineRule="exact"/>
      <w:ind w:firstLine="640" w:firstLineChars="200"/>
      <w:jc w:val="center"/>
    </w:pPr>
    <w:rPr>
      <w:rFonts w:ascii="仿宋" w:hAnsi="仿宋" w:eastAsia="仿宋" w:cs="仿宋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tabs>
        <w:tab w:val="clear" w:pos="1134"/>
      </w:tabs>
      <w:spacing w:before="480" w:after="80" w:line="278" w:lineRule="auto"/>
      <w:ind w:firstLine="0" w:firstLineChars="0"/>
      <w:jc w:val="left"/>
      <w:outlineLvl w:val="0"/>
    </w:pPr>
    <w:rPr>
      <w:rFonts w:asciiTheme="majorHAnsi" w:hAnsiTheme="majorHAnsi" w:eastAsiaTheme="majorEastAsia" w:cstheme="majorBidi"/>
      <w:bCs w:val="0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tabs>
        <w:tab w:val="clear" w:pos="1134"/>
      </w:tabs>
      <w:spacing w:before="160" w:after="80" w:line="278" w:lineRule="auto"/>
      <w:ind w:firstLine="0" w:firstLineChars="0"/>
      <w:jc w:val="left"/>
      <w:outlineLvl w:val="1"/>
    </w:pPr>
    <w:rPr>
      <w:rFonts w:asciiTheme="majorHAnsi" w:hAnsiTheme="majorHAnsi" w:eastAsiaTheme="majorEastAsia" w:cstheme="majorBidi"/>
      <w:bCs w:val="0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tabs>
        <w:tab w:val="clear" w:pos="1134"/>
      </w:tabs>
      <w:spacing w:before="160" w:after="80" w:line="278" w:lineRule="auto"/>
      <w:ind w:firstLine="0" w:firstLineChars="0"/>
      <w:jc w:val="left"/>
      <w:outlineLvl w:val="2"/>
    </w:pPr>
    <w:rPr>
      <w:rFonts w:asciiTheme="majorHAnsi" w:hAnsiTheme="majorHAnsi" w:eastAsiaTheme="majorEastAsia" w:cstheme="majorBidi"/>
      <w:bCs w:val="0"/>
      <w:color w:val="104862" w:themeColor="accent1" w:themeShade="BF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tabs>
        <w:tab w:val="clear" w:pos="1134"/>
      </w:tabs>
      <w:spacing w:before="80" w:after="40" w:line="278" w:lineRule="auto"/>
      <w:ind w:firstLine="0" w:firstLineChars="0"/>
      <w:jc w:val="left"/>
      <w:outlineLvl w:val="3"/>
    </w:pPr>
    <w:rPr>
      <w:rFonts w:asciiTheme="minorHAnsi" w:hAnsiTheme="minorHAnsi" w:eastAsiaTheme="minorEastAsia" w:cstheme="majorBidi"/>
      <w:bCs w:val="0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tabs>
        <w:tab w:val="clear" w:pos="1134"/>
      </w:tabs>
      <w:spacing w:before="80" w:after="40" w:line="278" w:lineRule="auto"/>
      <w:ind w:firstLine="0" w:firstLineChars="0"/>
      <w:jc w:val="left"/>
      <w:outlineLvl w:val="4"/>
    </w:pPr>
    <w:rPr>
      <w:rFonts w:asciiTheme="minorHAnsi" w:hAnsiTheme="minorHAnsi" w:eastAsiaTheme="minorEastAsia" w:cstheme="majorBidi"/>
      <w:bCs w:val="0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tabs>
        <w:tab w:val="clear" w:pos="1134"/>
      </w:tabs>
      <w:spacing w:before="40" w:line="278" w:lineRule="auto"/>
      <w:ind w:firstLine="0" w:firstLineChars="0"/>
      <w:jc w:val="left"/>
      <w:outlineLvl w:val="5"/>
    </w:pPr>
    <w:rPr>
      <w:rFonts w:asciiTheme="minorHAnsi" w:hAnsiTheme="minorHAnsi" w:eastAsiaTheme="minorEastAsia" w:cstheme="majorBidi"/>
      <w:b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tabs>
        <w:tab w:val="clear" w:pos="1134"/>
      </w:tabs>
      <w:spacing w:before="40" w:line="278" w:lineRule="auto"/>
      <w:ind w:firstLine="0" w:firstLineChars="0"/>
      <w:jc w:val="left"/>
      <w:outlineLvl w:val="6"/>
    </w:pPr>
    <w:rPr>
      <w:rFonts w:asciiTheme="minorHAnsi" w:hAnsiTheme="minorHAnsi" w:eastAsiaTheme="minorEastAsia" w:cstheme="majorBidi"/>
      <w:b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tabs>
        <w:tab w:val="clear" w:pos="1134"/>
      </w:tabs>
      <w:spacing w:line="278" w:lineRule="auto"/>
      <w:ind w:firstLine="0" w:firstLineChars="0"/>
      <w:jc w:val="left"/>
      <w:outlineLvl w:val="7"/>
    </w:pPr>
    <w:rPr>
      <w:rFonts w:asciiTheme="minorHAnsi" w:hAnsiTheme="minorHAnsi" w:eastAsiaTheme="minorEastAsia" w:cstheme="majorBidi"/>
      <w:bCs w:val="0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tabs>
        <w:tab w:val="clear" w:pos="1134"/>
      </w:tabs>
      <w:spacing w:line="278" w:lineRule="auto"/>
      <w:ind w:firstLine="0" w:firstLineChars="0"/>
      <w:jc w:val="left"/>
      <w:outlineLvl w:val="8"/>
    </w:pPr>
    <w:rPr>
      <w:rFonts w:asciiTheme="minorHAnsi" w:hAnsiTheme="minorHAnsi" w:eastAsiaTheme="majorEastAsia" w:cstheme="majorBidi"/>
      <w:bCs w:val="0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  <w:tab w:val="clear" w:pos="1134"/>
      </w:tabs>
      <w:snapToGrid w:val="0"/>
      <w:spacing w:after="160" w:line="240" w:lineRule="auto"/>
      <w:ind w:firstLine="0" w:firstLineChars="0"/>
      <w:jc w:val="left"/>
    </w:pPr>
    <w:rPr>
      <w:rFonts w:asciiTheme="minorHAnsi" w:hAnsiTheme="minorHAnsi" w:eastAsiaTheme="minorEastAsia" w:cstheme="minorBidi"/>
      <w:bCs w:val="0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  <w:tab w:val="clear" w:pos="1134"/>
      </w:tabs>
      <w:snapToGrid w:val="0"/>
      <w:spacing w:after="160" w:line="240" w:lineRule="auto"/>
      <w:ind w:firstLine="0" w:firstLineChars="0"/>
    </w:pPr>
    <w:rPr>
      <w:rFonts w:asciiTheme="minorHAnsi" w:hAnsiTheme="minorHAnsi" w:eastAsiaTheme="minorEastAsia" w:cstheme="minorBidi"/>
      <w:bCs w:val="0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tabs>
        <w:tab w:val="clear" w:pos="1134"/>
      </w:tabs>
      <w:spacing w:after="160" w:line="278" w:lineRule="auto"/>
    </w:pPr>
    <w:rPr>
      <w:rFonts w:asciiTheme="majorHAnsi" w:hAnsiTheme="majorHAnsi" w:eastAsiaTheme="majorEastAsia" w:cstheme="majorBidi"/>
      <w:bCs w:val="0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unhideWhenUsed/>
    <w:qFormat/>
    <w:uiPriority w:val="99"/>
    <w:pPr>
      <w:tabs>
        <w:tab w:val="clear" w:pos="1134"/>
      </w:tabs>
      <w:spacing w:before="100" w:beforeAutospacing="1" w:after="100" w:afterAutospacing="1"/>
      <w:ind w:firstLine="566" w:firstLineChars="177"/>
      <w:jc w:val="left"/>
    </w:pPr>
    <w:rPr>
      <w:rFonts w:cs="Times New Roman"/>
      <w:bCs w:val="0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tabs>
        <w:tab w:val="clear" w:pos="1134"/>
      </w:tabs>
      <w:spacing w:after="80" w:line="240" w:lineRule="auto"/>
      <w:ind w:firstLine="0" w:firstLineChars="0"/>
      <w:contextualSpacing/>
    </w:pPr>
    <w:rPr>
      <w:rFonts w:asciiTheme="majorHAnsi" w:hAnsiTheme="majorHAnsi" w:eastAsiaTheme="majorEastAsia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tabs>
        <w:tab w:val="clear" w:pos="1134"/>
      </w:tabs>
      <w:spacing w:before="160" w:after="160" w:line="278" w:lineRule="auto"/>
      <w:ind w:firstLine="0" w:firstLineChars="0"/>
    </w:pPr>
    <w:rPr>
      <w:rFonts w:asciiTheme="minorHAnsi" w:hAnsiTheme="minorHAnsi" w:eastAsiaTheme="minorEastAsia" w:cstheme="minorBidi"/>
      <w:bCs w:val="0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tabs>
        <w:tab w:val="clear" w:pos="1134"/>
      </w:tabs>
      <w:spacing w:after="160" w:line="278" w:lineRule="auto"/>
      <w:ind w:left="720" w:firstLine="0" w:firstLineChars="0"/>
      <w:contextualSpacing/>
      <w:jc w:val="left"/>
    </w:pPr>
    <w:rPr>
      <w:rFonts w:asciiTheme="minorHAnsi" w:hAnsiTheme="minorHAnsi" w:eastAsiaTheme="minorEastAsia" w:cstheme="minorBidi"/>
      <w:bCs w:val="0"/>
      <w:sz w:val="22"/>
      <w:szCs w:val="24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tabs>
        <w:tab w:val="clear" w:pos="1134"/>
      </w:tabs>
      <w:spacing w:before="360" w:after="360" w:line="278" w:lineRule="auto"/>
      <w:ind w:left="864" w:right="864" w:firstLine="0" w:firstLineChars="0"/>
    </w:pPr>
    <w:rPr>
      <w:rFonts w:asciiTheme="minorHAnsi" w:hAnsiTheme="minorHAnsi" w:eastAsiaTheme="minorEastAsia" w:cstheme="minorBidi"/>
      <w:bCs w:val="0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1670</Words>
  <Characters>2254</Characters>
  <Lines>16</Lines>
  <Paragraphs>4</Paragraphs>
  <TotalTime>3</TotalTime>
  <ScaleCrop>false</ScaleCrop>
  <LinksUpToDate>false</LinksUpToDate>
  <CharactersWithSpaces>2291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2026-01-15T01:21:00Z</dcterms:created>
  <dc:creator>李伟</dc:creator>
  <cp:lastModifiedBy>牧马人</cp:lastModifiedBy>
  <cp:lastPrinted>2026-02-02T01:47:00Z</cp:lastPrinted>
  <dcterms:modified xsi:type="dcterms:W3CDTF">2026-05-07T11:08:01Z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eyJoZGlkIjoiOGY0NTRmM2FjNGYxODVhMmVkZWVhNzI1ZjkyYzZmZGYiLCJ1c2VySWQiOiIxMTI0NjA5ODY3In0=</vt:lpwstr>
  </property>
  <property fmtid="{D5CDD505-2E9C-101B-9397-08002B2CF9AE}" pid="3" name="KSOProductBuildVer">
    <vt:lpwstr>2052-12.1.0.25865</vt:lpwstr>
  </property>
  <property fmtid="{D5CDD505-2E9C-101B-9397-08002B2CF9AE}" pid="4" name="ICV">
    <vt:lpwstr>6CD8D7E939F94F378C51DE312696B159_12</vt:lpwstr>
  </property>
</Properties>
</file>